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68c5" w14:textId="87c6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Степногорску</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22 октября 2022 года № А-10/351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города Степногорска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Степногорску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Степногорска.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Степногорска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"22" 10 2022 года</w:t>
            </w:r>
            <w:r>
              <w:br/>
            </w:r>
            <w:r>
              <w:rPr>
                <w:rFonts w:ascii="Times New Roman"/>
                <w:b w:val="false"/>
                <w:i w:val="false"/>
                <w:color w:val="000000"/>
                <w:sz w:val="20"/>
              </w:rPr>
              <w:t>№ А-10/351</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Степногорск</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города Степногорска,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8. На выбранные объекты перед проведением замеров государственное учреждения "Отдел жилищно-коммунального хозяйства, пассажирского транспорта, автомобильных дорог и жилищной инспекции города Степногорска"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10.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12.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государственным учреждением "Отдел жилищно-коммунального хозяйства, пассажирского транспорта, автомобильных дорог и жилищной инспекции города Степногорска"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жилищно-коммунального хозяйства, пассажирского транспорта, автомобильных дорог и жилищной инспекции города Степногорска"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проведения сезонных замеров, государственное учреждения "Отдел жилищно-коммунального хозяйства, пассажирского транспорта, автомобильных дорог и жилищной инспекции города Степногорска"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18.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19.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20.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21.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22.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1" w:id="8"/>
    <w:p>
      <w:pPr>
        <w:spacing w:after="0"/>
        <w:ind w:left="0"/>
        <w:jc w:val="left"/>
      </w:pPr>
      <w:r>
        <w:rPr>
          <w:rFonts w:ascii="Times New Roman"/>
          <w:b/>
          <w:i w:val="false"/>
          <w:color w:val="000000"/>
        </w:rPr>
        <w:t xml:space="preserve">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накопления коммунальных отходов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(крупногабаритные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3" w:id="9"/>
    <w:p>
      <w:pPr>
        <w:spacing w:after="0"/>
        <w:ind w:left="0"/>
        <w:jc w:val="left"/>
      </w:pPr>
      <w:r>
        <w:rPr>
          <w:rFonts w:ascii="Times New Roman"/>
          <w:b/>
          <w:i w:val="false"/>
          <w:color w:val="000000"/>
        </w:rPr>
        <w:t xml:space="preserve"> Коммунальный паспорт объекта жилищного фонда</w:t>
      </w:r>
    </w:p>
    <w:bookmarkEnd w:id="9"/>
    <w:p>
      <w:pPr>
        <w:spacing w:after="0"/>
        <w:ind w:left="0"/>
        <w:jc w:val="both"/>
      </w:pPr>
      <w:r>
        <w:rPr>
          <w:rFonts w:ascii="Times New Roman"/>
          <w:b w:val="false"/>
          <w:i w:val="false"/>
          <w:color w:val="000000"/>
          <w:sz w:val="28"/>
        </w:rPr>
        <w:t>
      Населенный пункт, район, область______________________________________</w:t>
      </w:r>
    </w:p>
    <w:p>
      <w:pPr>
        <w:spacing w:after="0"/>
        <w:ind w:left="0"/>
        <w:jc w:val="both"/>
      </w:pPr>
      <w:r>
        <w:rPr>
          <w:rFonts w:ascii="Times New Roman"/>
          <w:b w:val="false"/>
          <w:i w:val="false"/>
          <w:color w:val="000000"/>
          <w:sz w:val="28"/>
        </w:rPr>
        <w:t>
      1. Адрес____________________________________________________________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мусоропровода_____________________________________________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w:t>
      </w:r>
    </w:p>
    <w:p>
      <w:pPr>
        <w:spacing w:after="0"/>
        <w:ind w:left="0"/>
        <w:jc w:val="both"/>
      </w:pPr>
      <w:r>
        <w:rPr>
          <w:rFonts w:ascii="Times New Roman"/>
          <w:b w:val="false"/>
          <w:i w:val="false"/>
          <w:color w:val="000000"/>
          <w:sz w:val="28"/>
        </w:rPr>
        <w:t>
      2. Адрес____________________________________________________________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5" w:id="10"/>
    <w:p>
      <w:pPr>
        <w:spacing w:after="0"/>
        <w:ind w:left="0"/>
        <w:jc w:val="left"/>
      </w:pPr>
      <w:r>
        <w:rPr>
          <w:rFonts w:ascii="Times New Roman"/>
          <w:b/>
          <w:i w:val="false"/>
          <w:color w:val="000000"/>
        </w:rPr>
        <w:t xml:space="preserve"> Бланк первичных записей</w:t>
      </w:r>
    </w:p>
    <w:bookmarkEnd w:id="10"/>
    <w:p>
      <w:pPr>
        <w:spacing w:after="0"/>
        <w:ind w:left="0"/>
        <w:jc w:val="both"/>
      </w:pPr>
      <w:r>
        <w:rPr>
          <w:rFonts w:ascii="Times New Roman"/>
          <w:b w:val="false"/>
          <w:i w:val="false"/>
          <w:color w:val="000000"/>
          <w:sz w:val="28"/>
        </w:rPr>
        <w:t>
      (дата) по объекту ______________________________________________(наименование,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7" w:id="1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9" w:id="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2"/>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