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59f4" w14:textId="35f59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в населенных пунктах Атбасарского района</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3 августа 2022 года № 7С 21/4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порядок</w:t>
      </w:r>
      <w:r>
        <w:rPr>
          <w:rFonts w:ascii="Times New Roman"/>
          <w:b w:val="false"/>
          <w:i w:val="false"/>
          <w:color w:val="000000"/>
          <w:sz w:val="28"/>
        </w:rPr>
        <w:t xml:space="preserve"> проведения раздельных сходов местного сообщества в населенных пунктах Атбасарского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истечению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Б.Комбатуров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Атбасарского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3 августа 2022 года</w:t>
            </w:r>
            <w:r>
              <w:br/>
            </w:r>
            <w:r>
              <w:rPr>
                <w:rFonts w:ascii="Times New Roman"/>
                <w:b w:val="false"/>
                <w:i w:val="false"/>
                <w:color w:val="000000"/>
                <w:sz w:val="20"/>
              </w:rPr>
              <w:t>№ 7С 21/4</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в населенных пунктах Атбасарского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в населенных пуктах Атбасарского района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жителей села, поселка, сельского округа, микрорайона, улицы, многоквартирного жилого дома.</w:t>
      </w:r>
    </w:p>
    <w:bookmarkEnd w:id="5"/>
    <w:bookmarkStart w:name="z8" w:id="6"/>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0"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сельского округа подразделяется на участки (села, микрорайоны, улицы, многоквартирные жилые дома).</w:t>
      </w:r>
    </w:p>
    <w:bookmarkEnd w:id="8"/>
    <w:bookmarkStart w:name="z11"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9"/>
    <w:bookmarkStart w:name="z12" w:id="10"/>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сельского округа.</w:t>
      </w:r>
    </w:p>
    <w:bookmarkEnd w:id="10"/>
    <w:bookmarkStart w:name="z13"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1"/>
    <w:bookmarkStart w:name="z14" w:id="12"/>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сельского округа.</w:t>
      </w:r>
    </w:p>
    <w:bookmarkEnd w:id="1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Start w:name="z15" w:id="1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Start w:name="z16" w:id="14"/>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сельского округа или уполномоченным им лицом.</w:t>
      </w:r>
    </w:p>
    <w:bookmarkEnd w:id="14"/>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Start w:name="z17" w:id="15"/>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Атбасарским районным маслихатом.</w:t>
      </w:r>
    </w:p>
    <w:bookmarkEnd w:id="15"/>
    <w:bookmarkStart w:name="z18" w:id="16"/>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16"/>
    <w:bookmarkStart w:name="z19" w:id="17"/>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и сельского округа.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