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3ac3" w14:textId="7c13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Мугалжарского районного маслихата от 29 июля 2021 года № 73 "Об утверждении плана по управлению пастбищами и их использованию по сельским округам Талдысай, Журын, Егиндыбулак, Каинды, Кумжарган, селу Мугалжар и городам Эмба, Жем Мугалжарского района на 2021-2022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29 марта 2022 года № 158. Прекращено действие в связи с истечением срока</w:t>
      </w:r>
    </w:p>
    <w:p>
      <w:pPr>
        <w:spacing w:after="0"/>
        <w:ind w:left="0"/>
        <w:jc w:val="left"/>
      </w:pPr>
    </w:p>
    <w:bookmarkStart w:name="z2" w:id="0"/>
    <w:p>
      <w:pPr>
        <w:spacing w:after="0"/>
        <w:ind w:left="0"/>
        <w:jc w:val="both"/>
      </w:pPr>
      <w:r>
        <w:rPr>
          <w:rFonts w:ascii="Times New Roman"/>
          <w:b w:val="false"/>
          <w:i w:val="false"/>
          <w:color w:val="000000"/>
          <w:sz w:val="28"/>
        </w:rPr>
        <w:t>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от 29 июля 2021 года № 73 "Об утверждении плана по управлению пастбищами и их использованию по талдысайскому, Журынскому, Егиндыбулакскому, Кайындинскому, Кумжарганскому сельским округам, селу Мугалжар и городам Эмба, Жем Мугалжарского района на 2021-2022 годы" следующее изменение:</w:t>
      </w:r>
    </w:p>
    <w:bookmarkEnd w:id="1"/>
    <w:bookmarkStart w:name="z4" w:id="2"/>
    <w:p>
      <w:pPr>
        <w:spacing w:after="0"/>
        <w:ind w:left="0"/>
        <w:jc w:val="both"/>
      </w:pPr>
      <w:r>
        <w:rPr>
          <w:rFonts w:ascii="Times New Roman"/>
          <w:b w:val="false"/>
          <w:i w:val="false"/>
          <w:color w:val="000000"/>
          <w:sz w:val="28"/>
        </w:rPr>
        <w:t xml:space="preserve">
      "План по управлению пастбищами и их использованию в Кумжарганском сельском округе на 2021-2022 годы" утвержденный </w:t>
      </w:r>
      <w:r>
        <w:rPr>
          <w:rFonts w:ascii="Times New Roman"/>
          <w:b w:val="false"/>
          <w:i w:val="false"/>
          <w:color w:val="000000"/>
          <w:sz w:val="28"/>
        </w:rPr>
        <w:t>приложением 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марта 2022 года </w:t>
            </w:r>
            <w:r>
              <w:br/>
            </w:r>
            <w:r>
              <w:rPr>
                <w:rFonts w:ascii="Times New Roman"/>
                <w:b w:val="false"/>
                <w:i w:val="false"/>
                <w:color w:val="000000"/>
                <w:sz w:val="20"/>
              </w:rPr>
              <w:t>№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июля 2021 года </w:t>
            </w:r>
            <w:r>
              <w:br/>
            </w:r>
            <w:r>
              <w:rPr>
                <w:rFonts w:ascii="Times New Roman"/>
                <w:b w:val="false"/>
                <w:i w:val="false"/>
                <w:color w:val="000000"/>
                <w:sz w:val="20"/>
              </w:rPr>
              <w:t>№ 73</w:t>
            </w:r>
          </w:p>
        </w:tc>
      </w:tr>
    </w:tbl>
    <w:p>
      <w:pPr>
        <w:spacing w:after="0"/>
        <w:ind w:left="0"/>
        <w:jc w:val="left"/>
      </w:pPr>
      <w:r>
        <w:rPr>
          <w:rFonts w:ascii="Times New Roman"/>
          <w:b/>
          <w:i w:val="false"/>
          <w:color w:val="000000"/>
        </w:rPr>
        <w:t xml:space="preserve"> План по управлению пастбищами и их использованию в Кумжарганском сельском округе на 2021-2022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Кумжарганском сельском округе на 2021-2022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(зарегистрированным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(зарегистрированным в Реестре государственной регистрации нормативных правовых актов № 11064).</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Кумжарганского сельского округов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приемлемые схемы пастбищеоборотов (приложение 2);</w:t>
      </w:r>
    </w:p>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(приложение 3);</w:t>
      </w:r>
    </w:p>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(приложение 4);</w:t>
      </w:r>
    </w:p>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(приложение 5);</w:t>
      </w:r>
    </w:p>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 (приложение 6);</w:t>
      </w:r>
    </w:p>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(приложение 7);</w:t>
      </w:r>
    </w:p>
    <w:p>
      <w:pPr>
        <w:spacing w:after="0"/>
        <w:ind w:left="0"/>
        <w:jc w:val="both"/>
      </w:pPr>
      <w:r>
        <w:rPr>
          <w:rFonts w:ascii="Times New Roman"/>
          <w:b w:val="false"/>
          <w:i w:val="false"/>
          <w:color w:val="000000"/>
          <w:sz w:val="28"/>
        </w:rPr>
        <w:t>
      8) иные требования, необходимые для рационального использования пастбищ на соответствующей административно-территориальной единице.</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Кумжарганского сельском округе имеются 4 сельских населенных пунктов.</w:t>
      </w:r>
    </w:p>
    <w:p>
      <w:pPr>
        <w:spacing w:after="0"/>
        <w:ind w:left="0"/>
        <w:jc w:val="both"/>
      </w:pPr>
      <w:r>
        <w:rPr>
          <w:rFonts w:ascii="Times New Roman"/>
          <w:b w:val="false"/>
          <w:i w:val="false"/>
          <w:color w:val="000000"/>
          <w:sz w:val="28"/>
        </w:rPr>
        <w:t>
      Общая площадь территории Кумжарганского сельского округа 199 282 гектара, из них пашни – 35 гектаров, сенокос – 906 гектаров, пастбищные земли – 195 750 гектаров, огород – 12 гектаров, прочие угодий – 2 579 гектаров.</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–121 291 гектаров;</w:t>
      </w:r>
    </w:p>
    <w:p>
      <w:pPr>
        <w:spacing w:after="0"/>
        <w:ind w:left="0"/>
        <w:jc w:val="both"/>
      </w:pPr>
      <w:r>
        <w:rPr>
          <w:rFonts w:ascii="Times New Roman"/>
          <w:b w:val="false"/>
          <w:i w:val="false"/>
          <w:color w:val="000000"/>
          <w:sz w:val="28"/>
        </w:rPr>
        <w:t>
      земли населенных пунктов –31 320 гектаров;</w:t>
      </w:r>
    </w:p>
    <w:p>
      <w:pPr>
        <w:spacing w:after="0"/>
        <w:ind w:left="0"/>
        <w:jc w:val="both"/>
      </w:pPr>
      <w:r>
        <w:rPr>
          <w:rFonts w:ascii="Times New Roman"/>
          <w:b w:val="false"/>
          <w:i w:val="false"/>
          <w:color w:val="000000"/>
          <w:sz w:val="28"/>
        </w:rPr>
        <w:t>
      земли промышленности – 22 гектара;</w:t>
      </w:r>
    </w:p>
    <w:p>
      <w:pPr>
        <w:spacing w:after="0"/>
        <w:ind w:left="0"/>
        <w:jc w:val="both"/>
      </w:pPr>
      <w:r>
        <w:rPr>
          <w:rFonts w:ascii="Times New Roman"/>
          <w:b w:val="false"/>
          <w:i w:val="false"/>
          <w:color w:val="000000"/>
          <w:sz w:val="28"/>
        </w:rPr>
        <w:t>
      земли лесного фонда – 10 180 гектаров;</w:t>
      </w:r>
    </w:p>
    <w:p>
      <w:pPr>
        <w:spacing w:after="0"/>
        <w:ind w:left="0"/>
        <w:jc w:val="both"/>
      </w:pPr>
      <w:r>
        <w:rPr>
          <w:rFonts w:ascii="Times New Roman"/>
          <w:b w:val="false"/>
          <w:i w:val="false"/>
          <w:color w:val="000000"/>
          <w:sz w:val="28"/>
        </w:rPr>
        <w:t>
      земли запаса–36 469 гектаров.</w:t>
      </w:r>
    </w:p>
    <w:p>
      <w:pPr>
        <w:spacing w:after="0"/>
        <w:ind w:left="0"/>
        <w:jc w:val="both"/>
      </w:pPr>
      <w:r>
        <w:rPr>
          <w:rFonts w:ascii="Times New Roman"/>
          <w:b w:val="false"/>
          <w:i w:val="false"/>
          <w:color w:val="000000"/>
          <w:sz w:val="28"/>
        </w:rPr>
        <w:t xml:space="preserve">
      По природным условиям территория Кумжарганского сельского округа по агроклиматическим показателям относится к сухостепной зоне, характеризуется суровой длительной зимой, кратковременным жарким летом, резкими противоречиями температур зимы и лета, малым количеством годовых осадков, засухой.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светлокаштановые, малогумусные. Отдельные территорий Кумжарганского сельского округа представляют собой полого-увалистую равнину, довольно сильно изрезанную балками, руслами рек.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Кумжарганского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3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 </w:t>
      </w:r>
    </w:p>
    <w:p>
      <w:pPr>
        <w:spacing w:after="0"/>
        <w:ind w:left="0"/>
        <w:jc w:val="both"/>
      </w:pPr>
      <w:r>
        <w:rPr>
          <w:rFonts w:ascii="Times New Roman"/>
          <w:b w:val="false"/>
          <w:i w:val="false"/>
          <w:color w:val="000000"/>
          <w:sz w:val="28"/>
        </w:rPr>
        <w:t>
      На 1 января 2021 года в Кумжарганском сельском округе насчитывается (личное подворье населения) 2372 головы крупного рогатого скота, из них 1185 голов маточное поголовье, 3181 голов овец и коз, 28 голов лошадей. Из них:</w:t>
      </w:r>
    </w:p>
    <w:p>
      <w:pPr>
        <w:spacing w:after="0"/>
        <w:ind w:left="0"/>
        <w:jc w:val="both"/>
      </w:pPr>
      <w:r>
        <w:rPr>
          <w:rFonts w:ascii="Times New Roman"/>
          <w:b w:val="false"/>
          <w:i w:val="false"/>
          <w:color w:val="000000"/>
          <w:sz w:val="28"/>
        </w:rPr>
        <w:t>
      в селе Бирлик: 1033 голов крупного рогатого скота, из них 547 голов маточного поголовья, 954 голов овец и коз, 11 голов лошадей.</w:t>
      </w:r>
    </w:p>
    <w:p>
      <w:pPr>
        <w:spacing w:after="0"/>
        <w:ind w:left="0"/>
        <w:jc w:val="both"/>
      </w:pPr>
      <w:r>
        <w:rPr>
          <w:rFonts w:ascii="Times New Roman"/>
          <w:b w:val="false"/>
          <w:i w:val="false"/>
          <w:color w:val="000000"/>
          <w:sz w:val="28"/>
        </w:rPr>
        <w:t>
      Площадь пастбищ составляет 8067 гектаров.</w:t>
      </w:r>
    </w:p>
    <w:p>
      <w:pPr>
        <w:spacing w:after="0"/>
        <w:ind w:left="0"/>
        <w:jc w:val="both"/>
      </w:pPr>
      <w:r>
        <w:rPr>
          <w:rFonts w:ascii="Times New Roman"/>
          <w:b w:val="false"/>
          <w:i w:val="false"/>
          <w:color w:val="000000"/>
          <w:sz w:val="28"/>
        </w:rPr>
        <w:t>
      в селе Шенгелши: 462 голов крупного рогатого скота, из них 210 голов маточного поголовья,1467 голововец и коз, 2 голов лошадей.</w:t>
      </w:r>
    </w:p>
    <w:p>
      <w:pPr>
        <w:spacing w:after="0"/>
        <w:ind w:left="0"/>
        <w:jc w:val="both"/>
      </w:pPr>
      <w:r>
        <w:rPr>
          <w:rFonts w:ascii="Times New Roman"/>
          <w:b w:val="false"/>
          <w:i w:val="false"/>
          <w:color w:val="000000"/>
          <w:sz w:val="28"/>
        </w:rPr>
        <w:t>
      Площадь пастбищ составляет 8917 гектаров.</w:t>
      </w:r>
    </w:p>
    <w:p>
      <w:pPr>
        <w:spacing w:after="0"/>
        <w:ind w:left="0"/>
        <w:jc w:val="both"/>
      </w:pPr>
      <w:r>
        <w:rPr>
          <w:rFonts w:ascii="Times New Roman"/>
          <w:b w:val="false"/>
          <w:i w:val="false"/>
          <w:color w:val="000000"/>
          <w:sz w:val="28"/>
        </w:rPr>
        <w:t>
      в селе Кумжарган: 682 голов крупного рогатого скота, из них 330 голов маточного поголовья, 656 голововец и коз, 13 голов лошадей.</w:t>
      </w:r>
    </w:p>
    <w:p>
      <w:pPr>
        <w:spacing w:after="0"/>
        <w:ind w:left="0"/>
        <w:jc w:val="both"/>
      </w:pPr>
      <w:r>
        <w:rPr>
          <w:rFonts w:ascii="Times New Roman"/>
          <w:b w:val="false"/>
          <w:i w:val="false"/>
          <w:color w:val="000000"/>
          <w:sz w:val="28"/>
        </w:rPr>
        <w:t>
      Площадь пастбищ составляет 6 486 гектаров.</w:t>
      </w:r>
    </w:p>
    <w:p>
      <w:pPr>
        <w:spacing w:after="0"/>
        <w:ind w:left="0"/>
        <w:jc w:val="both"/>
      </w:pPr>
      <w:r>
        <w:rPr>
          <w:rFonts w:ascii="Times New Roman"/>
          <w:b w:val="false"/>
          <w:i w:val="false"/>
          <w:color w:val="000000"/>
          <w:sz w:val="28"/>
        </w:rPr>
        <w:t>
      в селе Кумсай: 195 голов крупного рогатого скота, из них 98 голов маточного поголовья, 104 голововец и коз, 2 голов лошадей.</w:t>
      </w:r>
    </w:p>
    <w:p>
      <w:pPr>
        <w:spacing w:after="0"/>
        <w:ind w:left="0"/>
        <w:jc w:val="both"/>
      </w:pPr>
      <w:r>
        <w:rPr>
          <w:rFonts w:ascii="Times New Roman"/>
          <w:b w:val="false"/>
          <w:i w:val="false"/>
          <w:color w:val="000000"/>
          <w:sz w:val="28"/>
        </w:rPr>
        <w:t>
      Площадь пастбищ составляет 7358 гектаров.</w:t>
      </w:r>
    </w:p>
    <w:p>
      <w:pPr>
        <w:spacing w:after="0"/>
        <w:ind w:left="0"/>
        <w:jc w:val="both"/>
      </w:pPr>
      <w:r>
        <w:rPr>
          <w:rFonts w:ascii="Times New Roman"/>
          <w:b w:val="false"/>
          <w:i w:val="false"/>
          <w:color w:val="000000"/>
          <w:sz w:val="28"/>
        </w:rPr>
        <w:t>
      Поголовье скота в товариществах с ограниченной ответственностью, крестьянских хозяйствах Кумжарганском сельского округа составляет: 1805 голов крупного рогатого скота, 7707голововец и коз, 1058 голов лошадей.</w:t>
      </w:r>
    </w:p>
    <w:p>
      <w:pPr>
        <w:spacing w:after="0"/>
        <w:ind w:left="0"/>
        <w:jc w:val="both"/>
      </w:pPr>
      <w:r>
        <w:rPr>
          <w:rFonts w:ascii="Times New Roman"/>
          <w:b w:val="false"/>
          <w:i w:val="false"/>
          <w:color w:val="000000"/>
          <w:sz w:val="28"/>
        </w:rPr>
        <w:t>
      Площадь пастбищ товариществах с ограниченной ответственностью, крестьянских хозяйств составляет 118 247 гектаров.</w:t>
      </w:r>
    </w:p>
    <w:p>
      <w:pPr>
        <w:spacing w:after="0"/>
        <w:ind w:left="0"/>
        <w:jc w:val="both"/>
      </w:pPr>
      <w:r>
        <w:rPr>
          <w:rFonts w:ascii="Times New Roman"/>
          <w:b w:val="false"/>
          <w:i w:val="false"/>
          <w:color w:val="000000"/>
          <w:sz w:val="28"/>
        </w:rPr>
        <w:t>
      В Кумжарганском сельском округе имеется 1 ветеринарный пункт.</w:t>
      </w:r>
    </w:p>
    <w:p>
      <w:pPr>
        <w:spacing w:after="0"/>
        <w:ind w:left="0"/>
        <w:jc w:val="both"/>
      </w:pPr>
      <w:r>
        <w:rPr>
          <w:rFonts w:ascii="Times New Roman"/>
          <w:b w:val="false"/>
          <w:i w:val="false"/>
          <w:color w:val="000000"/>
          <w:sz w:val="28"/>
        </w:rPr>
        <w:t xml:space="preserve">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 </w:t>
      </w:r>
    </w:p>
    <w:p>
      <w:pPr>
        <w:spacing w:after="0"/>
        <w:ind w:left="0"/>
        <w:jc w:val="both"/>
      </w:pPr>
      <w:r>
        <w:rPr>
          <w:rFonts w:ascii="Times New Roman"/>
          <w:b w:val="false"/>
          <w:i w:val="false"/>
          <w:color w:val="000000"/>
          <w:sz w:val="28"/>
        </w:rPr>
        <w:t>
      В Кумжарганском сельском округе ясно наблюдается сезонный характер природных пастбищ. На территории Кумжарганского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Кумжарганского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Кумжарганскому сельскому округу имеются всего 136619 гектаров пастбищных угодий. В черте населенных пунктов числится 16580 гектаров пастбищ.</w:t>
      </w:r>
    </w:p>
    <w:p>
      <w:pPr>
        <w:spacing w:after="0"/>
        <w:ind w:left="0"/>
        <w:jc w:val="both"/>
      </w:pPr>
      <w:r>
        <w:rPr>
          <w:rFonts w:ascii="Times New Roman"/>
          <w:b w:val="false"/>
          <w:i w:val="false"/>
          <w:color w:val="000000"/>
          <w:sz w:val="28"/>
        </w:rPr>
        <w:t>
      В Кумжарганском льском округе сервитуты для прогона скота не установлены.</w:t>
      </w:r>
    </w:p>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(село Бирлик, село Шенгелши, село Кумжарган, село Кумсай) по содержанию маточного (дойного) поголовья сельскохозяйственных животных при имеющихся пастбищных угодьях населенных пунктов в размере 30 828гектаров, при норме нагрузки 10 гектаров/голов потребность не возникает. </w:t>
      </w:r>
    </w:p>
    <w:p>
      <w:pPr>
        <w:spacing w:after="0"/>
        <w:ind w:left="0"/>
        <w:jc w:val="both"/>
      </w:pPr>
      <w:r>
        <w:rPr>
          <w:rFonts w:ascii="Times New Roman"/>
          <w:b w:val="false"/>
          <w:i w:val="false"/>
          <w:color w:val="000000"/>
          <w:sz w:val="28"/>
        </w:rPr>
        <w:t>
      Пастбищных угодий по выпасу других сельскохозяйственных животных местного населения, при норме нагрузки на голову крупного рогатого скота – 10 гектаров/голов, овцы и козы– 2 гектара/голов, лошадей – 12 гектаров/голов потребность не возникает.</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скота- 2372 голов х 10 гектаров/голов=23 720 гектаров;</w:t>
      </w:r>
    </w:p>
    <w:p>
      <w:pPr>
        <w:spacing w:after="0"/>
        <w:ind w:left="0"/>
        <w:jc w:val="both"/>
      </w:pPr>
      <w:r>
        <w:rPr>
          <w:rFonts w:ascii="Times New Roman"/>
          <w:b w:val="false"/>
          <w:i w:val="false"/>
          <w:color w:val="000000"/>
          <w:sz w:val="28"/>
        </w:rPr>
        <w:t>
      для овец и коз–3181 голов х 2 гектара/голов = 6 362 гектаров;</w:t>
      </w:r>
    </w:p>
    <w:p>
      <w:pPr>
        <w:spacing w:after="0"/>
        <w:ind w:left="0"/>
        <w:jc w:val="both"/>
      </w:pPr>
      <w:r>
        <w:rPr>
          <w:rFonts w:ascii="Times New Roman"/>
          <w:b w:val="false"/>
          <w:i w:val="false"/>
          <w:color w:val="000000"/>
          <w:sz w:val="28"/>
        </w:rPr>
        <w:t>
      для лошадей–28 голов х 12 гектаров/голов =336 гектара.</w:t>
      </w:r>
    </w:p>
    <w:p>
      <w:pPr>
        <w:spacing w:after="0"/>
        <w:ind w:left="0"/>
        <w:jc w:val="both"/>
      </w:pPr>
      <w:r>
        <w:rPr>
          <w:rFonts w:ascii="Times New Roman"/>
          <w:b w:val="false"/>
          <w:i w:val="false"/>
          <w:color w:val="000000"/>
          <w:sz w:val="28"/>
        </w:rPr>
        <w:t>
      23720+6362+336 = 30 418 гектаров.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по </w:t>
            </w:r>
            <w:r>
              <w:br/>
            </w:r>
            <w:r>
              <w:rPr>
                <w:rFonts w:ascii="Times New Roman"/>
                <w:b w:val="false"/>
                <w:i w:val="false"/>
                <w:color w:val="000000"/>
                <w:sz w:val="20"/>
              </w:rPr>
              <w:t xml:space="preserve">управлению 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Кумжарганском сельском округе </w:t>
            </w:r>
            <w:r>
              <w:br/>
            </w:r>
            <w:r>
              <w:rPr>
                <w:rFonts w:ascii="Times New Roman"/>
                <w:b w:val="false"/>
                <w:i w:val="false"/>
                <w:color w:val="000000"/>
                <w:sz w:val="20"/>
              </w:rPr>
              <w:t>на 2021-2022 годы</w:t>
            </w:r>
          </w:p>
        </w:tc>
      </w:tr>
    </w:tbl>
    <w:p>
      <w:pPr>
        <w:spacing w:after="0"/>
        <w:ind w:left="0"/>
        <w:jc w:val="left"/>
      </w:pPr>
      <w:r>
        <w:rPr>
          <w:rFonts w:ascii="Times New Roman"/>
          <w:b/>
          <w:i w:val="false"/>
          <w:color w:val="000000"/>
        </w:rPr>
        <w:t xml:space="preserve"> Схема (карта) расположения пастбищ на территории Кумжарганского сельского округав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по </w:t>
            </w:r>
            <w:r>
              <w:br/>
            </w:r>
            <w:r>
              <w:rPr>
                <w:rFonts w:ascii="Times New Roman"/>
                <w:b w:val="false"/>
                <w:i w:val="false"/>
                <w:color w:val="000000"/>
                <w:sz w:val="20"/>
              </w:rPr>
              <w:t xml:space="preserve">управлению 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Кумжарганском сельском округе </w:t>
            </w:r>
            <w:r>
              <w:br/>
            </w:r>
            <w:r>
              <w:rPr>
                <w:rFonts w:ascii="Times New Roman"/>
                <w:b w:val="false"/>
                <w:i w:val="false"/>
                <w:color w:val="000000"/>
                <w:sz w:val="20"/>
              </w:rPr>
              <w:t>на 2021-2022 годы</w:t>
            </w:r>
          </w:p>
        </w:tc>
      </w:tr>
    </w:tbl>
    <w:p>
      <w:pPr>
        <w:spacing w:after="0"/>
        <w:ind w:left="0"/>
        <w:jc w:val="left"/>
      </w:pPr>
      <w:r>
        <w:rPr>
          <w:rFonts w:ascii="Times New Roman"/>
          <w:b/>
          <w:i w:val="false"/>
          <w:color w:val="000000"/>
        </w:rPr>
        <w:t xml:space="preserve"> Приемлемые схемы пастбище оборотов</w:t>
      </w:r>
    </w:p>
    <w:p>
      <w:pPr>
        <w:spacing w:after="0"/>
        <w:ind w:left="0"/>
        <w:jc w:val="left"/>
      </w:pPr>
      <w:r>
        <w:br/>
      </w:r>
    </w:p>
    <w:p>
      <w:pPr>
        <w:spacing w:after="0"/>
        <w:ind w:left="0"/>
        <w:jc w:val="both"/>
      </w:pPr>
      <w:r>
        <w:drawing>
          <wp:inline distT="0" distB="0" distL="0" distR="0">
            <wp:extent cx="7810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по </w:t>
            </w:r>
            <w:r>
              <w:br/>
            </w:r>
            <w:r>
              <w:rPr>
                <w:rFonts w:ascii="Times New Roman"/>
                <w:b w:val="false"/>
                <w:i w:val="false"/>
                <w:color w:val="000000"/>
                <w:sz w:val="20"/>
              </w:rPr>
              <w:t xml:space="preserve">управлению 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Кумжарганском сельском округе </w:t>
            </w:r>
            <w:r>
              <w:br/>
            </w:r>
            <w:r>
              <w:rPr>
                <w:rFonts w:ascii="Times New Roman"/>
                <w:b w:val="false"/>
                <w:i w:val="false"/>
                <w:color w:val="000000"/>
                <w:sz w:val="20"/>
              </w:rPr>
              <w:t>на 2021-2022годы</w:t>
            </w:r>
          </w:p>
        </w:tc>
      </w:tr>
    </w:tbl>
    <w:p>
      <w:pPr>
        <w:spacing w:after="0"/>
        <w:ind w:left="0"/>
        <w:jc w:val="left"/>
      </w:pPr>
      <w:r>
        <w:rPr>
          <w:rFonts w:ascii="Times New Roman"/>
          <w:b/>
          <w:i w:val="false"/>
          <w:color w:val="000000"/>
        </w:rPr>
        <w:t xml:space="preserve"> Карта с обозначением внешних и внутренних границ и площадей пастбищ, </w:t>
      </w:r>
    </w:p>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по </w:t>
            </w:r>
            <w:r>
              <w:br/>
            </w:r>
            <w:r>
              <w:rPr>
                <w:rFonts w:ascii="Times New Roman"/>
                <w:b w:val="false"/>
                <w:i w:val="false"/>
                <w:color w:val="000000"/>
                <w:sz w:val="20"/>
              </w:rPr>
              <w:t xml:space="preserve">управлению 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Кумжарганском сельском округе </w:t>
            </w:r>
            <w:r>
              <w:br/>
            </w:r>
            <w:r>
              <w:rPr>
                <w:rFonts w:ascii="Times New Roman"/>
                <w:b w:val="false"/>
                <w:i w:val="false"/>
                <w:color w:val="000000"/>
                <w:sz w:val="20"/>
              </w:rPr>
              <w:t>на 2021-2022 годы</w:t>
            </w:r>
          </w:p>
        </w:tc>
      </w:tr>
    </w:tbl>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копаниям, оросительным или обводнительным каналам, трубчатым или шахтным колодцам), составленная согласно норме потребления воды</w:t>
      </w:r>
    </w:p>
    <w:p>
      <w:pPr>
        <w:spacing w:after="0"/>
        <w:ind w:left="0"/>
        <w:jc w:val="left"/>
      </w:pPr>
      <w:r>
        <w:br/>
      </w:r>
    </w:p>
    <w:p>
      <w:pPr>
        <w:spacing w:after="0"/>
        <w:ind w:left="0"/>
        <w:jc w:val="both"/>
      </w:pPr>
      <w:r>
        <w:drawing>
          <wp:inline distT="0" distB="0" distL="0" distR="0">
            <wp:extent cx="7810500" cy="981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81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по </w:t>
            </w:r>
            <w:r>
              <w:br/>
            </w:r>
            <w:r>
              <w:rPr>
                <w:rFonts w:ascii="Times New Roman"/>
                <w:b w:val="false"/>
                <w:i w:val="false"/>
                <w:color w:val="000000"/>
                <w:sz w:val="20"/>
              </w:rPr>
              <w:t xml:space="preserve">управлению 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Кумжарганском сельском округе </w:t>
            </w:r>
            <w:r>
              <w:br/>
            </w:r>
            <w:r>
              <w:rPr>
                <w:rFonts w:ascii="Times New Roman"/>
                <w:b w:val="false"/>
                <w:i w:val="false"/>
                <w:color w:val="000000"/>
                <w:sz w:val="20"/>
              </w:rPr>
              <w:t>на 2021-2022 годы</w:t>
            </w:r>
          </w:p>
        </w:tc>
      </w:tr>
    </w:tbl>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p>
      <w:pPr>
        <w:spacing w:after="0"/>
        <w:ind w:left="0"/>
        <w:jc w:val="left"/>
      </w:pP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по </w:t>
            </w:r>
            <w:r>
              <w:br/>
            </w:r>
            <w:r>
              <w:rPr>
                <w:rFonts w:ascii="Times New Roman"/>
                <w:b w:val="false"/>
                <w:i w:val="false"/>
                <w:color w:val="000000"/>
                <w:sz w:val="20"/>
              </w:rPr>
              <w:t xml:space="preserve">управлению 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Кумжарганском сельском округе </w:t>
            </w:r>
            <w:r>
              <w:br/>
            </w:r>
            <w:r>
              <w:rPr>
                <w:rFonts w:ascii="Times New Roman"/>
                <w:b w:val="false"/>
                <w:i w:val="false"/>
                <w:color w:val="000000"/>
                <w:sz w:val="20"/>
              </w:rPr>
              <w:t>на 2021-2022 годы</w:t>
            </w:r>
          </w:p>
        </w:tc>
      </w:tr>
    </w:tbl>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w:t>
      </w:r>
    </w:p>
    <w:p>
      <w:pPr>
        <w:spacing w:after="0"/>
        <w:ind w:left="0"/>
        <w:jc w:val="left"/>
      </w:pPr>
      <w:r>
        <w:br/>
      </w:r>
    </w:p>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по </w:t>
            </w:r>
            <w:r>
              <w:br/>
            </w:r>
            <w:r>
              <w:rPr>
                <w:rFonts w:ascii="Times New Roman"/>
                <w:b w:val="false"/>
                <w:i w:val="false"/>
                <w:color w:val="000000"/>
                <w:sz w:val="20"/>
              </w:rPr>
              <w:t xml:space="preserve">управлению 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Кумжарганском сельском округе </w:t>
            </w:r>
            <w:r>
              <w:br/>
            </w:r>
            <w:r>
              <w:rPr>
                <w:rFonts w:ascii="Times New Roman"/>
                <w:b w:val="false"/>
                <w:i w:val="false"/>
                <w:color w:val="000000"/>
                <w:sz w:val="20"/>
              </w:rPr>
              <w:t>на 2021-2022 годы</w:t>
            </w:r>
          </w:p>
        </w:tc>
      </w:tr>
    </w:tbl>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загонов в 2021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загонов в 2022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ВЛС – весенне-летний сезон;</w:t>
      </w:r>
    </w:p>
    <w:p>
      <w:pPr>
        <w:spacing w:after="0"/>
        <w:ind w:left="0"/>
        <w:jc w:val="both"/>
      </w:pPr>
      <w:r>
        <w:rPr>
          <w:rFonts w:ascii="Times New Roman"/>
          <w:b w:val="false"/>
          <w:i w:val="false"/>
          <w:color w:val="000000"/>
          <w:sz w:val="28"/>
        </w:rPr>
        <w:t>
      ЛОС – летне-осенний сезон;</w:t>
      </w:r>
    </w:p>
    <w:p>
      <w:pPr>
        <w:spacing w:after="0"/>
        <w:ind w:left="0"/>
        <w:jc w:val="both"/>
      </w:pPr>
      <w:r>
        <w:rPr>
          <w:rFonts w:ascii="Times New Roman"/>
          <w:b w:val="false"/>
          <w:i w:val="false"/>
          <w:color w:val="000000"/>
          <w:sz w:val="28"/>
        </w:rPr>
        <w:t>
      ЛС – летний сезон;</w:t>
      </w:r>
    </w:p>
    <w:p>
      <w:pPr>
        <w:spacing w:after="0"/>
        <w:ind w:left="0"/>
        <w:jc w:val="both"/>
      </w:pPr>
      <w:r>
        <w:rPr>
          <w:rFonts w:ascii="Times New Roman"/>
          <w:b w:val="false"/>
          <w:i w:val="false"/>
          <w:color w:val="000000"/>
          <w:sz w:val="28"/>
        </w:rPr>
        <w:t>
      ОЗ – отдыхающий загон.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