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d0e1" w14:textId="1a8d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Темирского районного маслихата</w:t>
      </w:r>
    </w:p>
    <w:p>
      <w:pPr>
        <w:spacing w:after="0"/>
        <w:ind w:left="0"/>
        <w:jc w:val="both"/>
      </w:pPr>
      <w:r>
        <w:rPr>
          <w:rFonts w:ascii="Times New Roman"/>
          <w:b w:val="false"/>
          <w:i w:val="false"/>
          <w:color w:val="000000"/>
          <w:sz w:val="28"/>
        </w:rPr>
        <w:t>Решение Темирского районного маслихата Актюбинской области от 18 марта 2022 года № 167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Темирский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Темирского районного маслихата.</w:t>
      </w:r>
    </w:p>
    <w:bookmarkEnd w:id="1"/>
    <w:bookmarkStart w:name="z4" w:id="2"/>
    <w:p>
      <w:pPr>
        <w:spacing w:after="0"/>
        <w:ind w:left="0"/>
        <w:jc w:val="both"/>
      </w:pPr>
      <w:r>
        <w:rPr>
          <w:rFonts w:ascii="Times New Roman"/>
          <w:b w:val="false"/>
          <w:i w:val="false"/>
          <w:color w:val="000000"/>
          <w:sz w:val="28"/>
        </w:rPr>
        <w:t>
      2. Признать утратившим силу решение Темирского районного маслихата "Об утверждении Регламента Темирского районного маслихата" от 24 августа 2016 года № 46.</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Темирского районного маслихата от 18 марта 2022 года № 167</w:t>
            </w:r>
          </w:p>
        </w:tc>
      </w:tr>
    </w:tbl>
    <w:bookmarkStart w:name="z7" w:id="4"/>
    <w:p>
      <w:pPr>
        <w:spacing w:after="0"/>
        <w:ind w:left="0"/>
        <w:jc w:val="left"/>
      </w:pPr>
      <w:r>
        <w:rPr>
          <w:rFonts w:ascii="Times New Roman"/>
          <w:b/>
          <w:i w:val="false"/>
          <w:color w:val="000000"/>
        </w:rPr>
        <w:t xml:space="preserve"> Регламент Темирского районного маслихата</w:t>
      </w:r>
    </w:p>
    <w:bookmarkEnd w:id="4"/>
    <w:p>
      <w:pPr>
        <w:spacing w:after="0"/>
        <w:ind w:left="0"/>
        <w:jc w:val="both"/>
      </w:pPr>
      <w:r>
        <w:rPr>
          <w:rFonts w:ascii="Times New Roman"/>
          <w:b w:val="false"/>
          <w:i w:val="false"/>
          <w:color w:val="ff0000"/>
          <w:sz w:val="28"/>
        </w:rPr>
        <w:t xml:space="preserve">
      Сноска. Регламент – в редакции решения Темирского районного маслихата Актюбинской области от 26.12.2022 </w:t>
      </w:r>
      <w:r>
        <w:rPr>
          <w:rFonts w:ascii="Times New Roman"/>
          <w:b w:val="false"/>
          <w:i w:val="false"/>
          <w:color w:val="ff0000"/>
          <w:sz w:val="28"/>
        </w:rPr>
        <w:t>№ 275</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Глава 1. Общие положения</w:t>
      </w:r>
    </w:p>
    <w:bookmarkStart w:name="z8" w:id="5"/>
    <w:p>
      <w:pPr>
        <w:spacing w:after="0"/>
        <w:ind w:left="0"/>
        <w:jc w:val="both"/>
      </w:pPr>
      <w:r>
        <w:rPr>
          <w:rFonts w:ascii="Times New Roman"/>
          <w:b w:val="false"/>
          <w:i w:val="false"/>
          <w:color w:val="000000"/>
          <w:sz w:val="28"/>
        </w:rPr>
        <w:t xml:space="preserve">
      1. Настоящий регламент Темирского районного маслихата (далее – Регламент) разработан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порядок голосования, организацию работы аппарата и другие процедурные,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Глава 2. Порядок проведения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в средствах массовой информации и (или) на официальном интернет–ресурсе районного маслихата.</w:t>
      </w:r>
    </w:p>
    <w:bookmarkEnd w:id="14"/>
    <w:p>
      <w:pPr>
        <w:spacing w:after="0"/>
        <w:ind w:left="0"/>
        <w:jc w:val="both"/>
      </w:pPr>
      <w:r>
        <w:rPr>
          <w:rFonts w:ascii="Times New Roman"/>
          <w:b w:val="false"/>
          <w:i w:val="false"/>
          <w:color w:val="000000"/>
          <w:sz w:val="28"/>
        </w:rPr>
        <w:t>
      Информация должна быть размещена в средствах массовой информации и (или) на интернет–ресурсе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17"/>
    <w:bookmarkStart w:name="z21" w:id="1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(города областного значения), города районного значения,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p>
      <w:pPr>
        <w:spacing w:after="0"/>
        <w:ind w:left="0"/>
        <w:jc w:val="left"/>
      </w:pPr>
      <w:r>
        <w:rPr>
          <w:rFonts w:ascii="Times New Roman"/>
          <w:b/>
          <w:i w:val="false"/>
          <w:color w:val="000000"/>
        </w:rPr>
        <w:t xml:space="preserve"> Глава 3. Порядок принятия актов маслихата</w:t>
      </w:r>
    </w:p>
    <w:bookmarkStart w:name="z26" w:id="2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3"/>
    <w:bookmarkStart w:name="z27" w:id="2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8" w:id="2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5"/>
    <w:bookmarkStart w:name="z29" w:id="2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6"/>
    <w:bookmarkStart w:name="z30" w:id="2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7"/>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1" w:id="2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2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города районного значения,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бюджета города районного значения, сельских округов отдельными решениями маслихата района.</w:t>
      </w:r>
    </w:p>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комиссиях.</w:t>
      </w:r>
    </w:p>
    <w:p>
      <w:pPr>
        <w:spacing w:after="0"/>
        <w:ind w:left="0"/>
        <w:jc w:val="left"/>
      </w:pPr>
      <w:r>
        <w:rPr>
          <w:rFonts w:ascii="Times New Roman"/>
          <w:b/>
          <w:i w:val="false"/>
          <w:color w:val="000000"/>
        </w:rPr>
        <w:t xml:space="preserve"> Глава 4. Порядок заслушивания отчетов</w:t>
      </w:r>
    </w:p>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37. Отчет ревизионной комиссии области об исполнении бюджета рассматривается маслихатом ежегодно.</w:t>
      </w:r>
    </w:p>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Глава 5. Порядок рассмотрения депутатских запросов</w:t>
      </w:r>
    </w:p>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p>
      <w:pPr>
        <w:spacing w:after="0"/>
        <w:ind w:left="0"/>
        <w:jc w:val="left"/>
      </w:pPr>
      <w:r>
        <w:rPr>
          <w:rFonts w:ascii="Times New Roman"/>
          <w:b/>
          <w:i w:val="false"/>
          <w:color w:val="000000"/>
        </w:rPr>
        <w:t xml:space="preserve"> Параграф 2. Постоянные комиссии маслихата</w:t>
      </w:r>
    </w:p>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p>
      <w:pPr>
        <w:spacing w:after="0"/>
        <w:ind w:left="0"/>
        <w:jc w:val="left"/>
      </w:pPr>
      <w:r>
        <w:rPr>
          <w:rFonts w:ascii="Times New Roman"/>
          <w:b/>
          <w:i w:val="false"/>
          <w:color w:val="000000"/>
        </w:rPr>
        <w:t xml:space="preserve"> Параграф 3. Председатель постоянной комиссии маслихата</w:t>
      </w:r>
    </w:p>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p>
      <w:pPr>
        <w:spacing w:after="0"/>
        <w:ind w:left="0"/>
        <w:jc w:val="left"/>
      </w:pPr>
      <w:r>
        <w:rPr>
          <w:rFonts w:ascii="Times New Roman"/>
          <w:b/>
          <w:i w:val="false"/>
          <w:color w:val="000000"/>
        </w:rPr>
        <w:t xml:space="preserve"> Параграф 4. Счетная комиссия маслихата</w:t>
      </w:r>
    </w:p>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p>
      <w:pPr>
        <w:spacing w:after="0"/>
        <w:ind w:left="0"/>
        <w:jc w:val="left"/>
      </w:pPr>
      <w:r>
        <w:rPr>
          <w:rFonts w:ascii="Times New Roman"/>
          <w:b/>
          <w:i w:val="false"/>
          <w:color w:val="000000"/>
        </w:rPr>
        <w:t xml:space="preserve"> Параграф 5. Депутатские объединения в маслихатах</w:t>
      </w:r>
    </w:p>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61.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p>
      <w:pPr>
        <w:spacing w:after="0"/>
        <w:ind w:left="0"/>
        <w:jc w:val="left"/>
      </w:pPr>
      <w:r>
        <w:rPr>
          <w:rFonts w:ascii="Times New Roman"/>
          <w:b/>
          <w:i w:val="false"/>
          <w:color w:val="000000"/>
        </w:rPr>
        <w:t xml:space="preserve"> Глава 7. Правила депутатской этики</w:t>
      </w:r>
    </w:p>
    <w:p>
      <w:pPr>
        <w:spacing w:after="0"/>
        <w:ind w:left="0"/>
        <w:jc w:val="both"/>
      </w:pPr>
      <w:r>
        <w:rPr>
          <w:rFonts w:ascii="Times New Roman"/>
          <w:b w:val="false"/>
          <w:i w:val="false"/>
          <w:color w:val="000000"/>
          <w:sz w:val="28"/>
        </w:rPr>
        <w:t>
      63.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p>
      <w:pPr>
        <w:spacing w:after="0"/>
        <w:ind w:left="0"/>
        <w:jc w:val="left"/>
      </w:pPr>
      <w:r>
        <w:rPr>
          <w:rFonts w:ascii="Times New Roman"/>
          <w:b/>
          <w:i w:val="false"/>
          <w:color w:val="000000"/>
        </w:rPr>
        <w:t xml:space="preserve"> Глава 8. Повышение квалификации депутатов маслихата</w:t>
      </w:r>
    </w:p>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p>
      <w:pPr>
        <w:spacing w:after="0"/>
        <w:ind w:left="0"/>
        <w:jc w:val="left"/>
      </w:pPr>
      <w:r>
        <w:rPr>
          <w:rFonts w:ascii="Times New Roman"/>
          <w:b/>
          <w:i w:val="false"/>
          <w:color w:val="000000"/>
        </w:rPr>
        <w:t xml:space="preserve"> Глава 9. Организация работы аппарата маслихата</w:t>
      </w:r>
    </w:p>
    <w:p>
      <w:pPr>
        <w:spacing w:after="0"/>
        <w:ind w:left="0"/>
        <w:jc w:val="both"/>
      </w:pPr>
      <w:r>
        <w:rPr>
          <w:rFonts w:ascii="Times New Roman"/>
          <w:b w:val="false"/>
          <w:i w:val="false"/>
          <w:color w:val="000000"/>
          <w:sz w:val="28"/>
        </w:rPr>
        <w:t>
      74. Для информационно–аналитического, организационно– 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