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7f72" w14:textId="df87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Уилском районе</w:t>
      </w:r>
    </w:p>
    <w:p>
      <w:pPr>
        <w:spacing w:after="0"/>
        <w:ind w:left="0"/>
        <w:jc w:val="both"/>
      </w:pPr>
      <w:r>
        <w:rPr>
          <w:rFonts w:ascii="Times New Roman"/>
          <w:b w:val="false"/>
          <w:i w:val="false"/>
          <w:color w:val="000000"/>
          <w:sz w:val="28"/>
        </w:rPr>
        <w:t>Постановление акимата Уилского района Актюбинской области от 19 апреля 2022 года № 62</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акимат Уилского района ПОСТАНОВИЛ:</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Уилском районе.</w:t>
      </w:r>
    </w:p>
    <w:bookmarkEnd w:id="1"/>
    <w:bookmarkStart w:name="z4" w:id="2"/>
    <w:p>
      <w:pPr>
        <w:spacing w:after="0"/>
        <w:ind w:left="0"/>
        <w:jc w:val="both"/>
      </w:pPr>
      <w:r>
        <w:rPr>
          <w:rFonts w:ascii="Times New Roman"/>
          <w:b w:val="false"/>
          <w:i w:val="false"/>
          <w:color w:val="000000"/>
          <w:sz w:val="28"/>
        </w:rPr>
        <w:t>
      2. Государственному учреждению "Уилский районный отдел архитектуры, строительства, жилищно-коммунального 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размещение настоящего постановления на интернет-ресурсе акимата Уилского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Уилского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Уилского района от 19 апреля 2022 года № 62</w:t>
            </w:r>
          </w:p>
        </w:tc>
      </w:tr>
    </w:tbl>
    <w:bookmarkStart w:name="z8" w:id="5"/>
    <w:p>
      <w:pPr>
        <w:spacing w:after="0"/>
        <w:ind w:left="0"/>
        <w:jc w:val="left"/>
      </w:pPr>
      <w:r>
        <w:rPr>
          <w:rFonts w:ascii="Times New Roman"/>
          <w:b/>
          <w:i w:val="false"/>
          <w:color w:val="000000"/>
        </w:rPr>
        <w:t xml:space="preserve"> Правила предоставления коммунальных услуг в Уилском районе</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Уилского района Актюбинской области от 28.11.2023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предоставления коммунальных услуг в Уилском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22)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left"/>
      </w:pPr>
      <w:r>
        <w:rPr>
          <w:rFonts w:ascii="Times New Roman"/>
          <w:b/>
          <w:i w:val="false"/>
          <w:color w:val="000000"/>
        </w:rPr>
        <w:t xml:space="preserve"> Глава 2. Порядок и условия предоставления коммунальных услуг</w:t>
      </w:r>
    </w:p>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подготавливает проекты договоров с поставщиками коммунальных услуг (на каждый вид услуг) для последующего подписания и заключения их с собственниками квартир и нежилых помещений.</w:t>
      </w:r>
    </w:p>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либо временной управляющей компанией на содержание общего имущества объекта кондоминиума.</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p>
      <w:pPr>
        <w:spacing w:after="0"/>
        <w:ind w:left="0"/>
        <w:jc w:val="both"/>
      </w:pPr>
      <w:r>
        <w:rPr>
          <w:rFonts w:ascii="Times New Roman"/>
          <w:b w:val="false"/>
          <w:i w:val="false"/>
          <w:color w:val="000000"/>
          <w:sz w:val="28"/>
        </w:rPr>
        <w:t>
      6. Потребительские свойства и режим предоставления услуг:</w:t>
      </w:r>
    </w:p>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 Границей раздела балансовой принадлежности между сетями водоснабжения и водоотведения услугодателя и потребителя, являющегося владельцем индивидуального жилого дома или юридическим лицом, является врезка в трубопровод в месте подключения к системе водоснабжения и водоотведения населенного пункта.</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p>
      <w:pPr>
        <w:spacing w:after="0"/>
        <w:ind w:left="0"/>
        <w:jc w:val="both"/>
      </w:pPr>
      <w:r>
        <w:rPr>
          <w:rFonts w:ascii="Times New Roman"/>
          <w:b w:val="false"/>
          <w:i w:val="false"/>
          <w:color w:val="000000"/>
          <w:sz w:val="28"/>
        </w:rPr>
        <w:t>
      20. Потребитель:</w:t>
      </w:r>
    </w:p>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9) физические лица, проживающие в жилых домах, обязаны пользоваться централизованной системой сбора твердых бытовых отходов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p>
      <w:pPr>
        <w:spacing w:after="0"/>
        <w:ind w:left="0"/>
        <w:jc w:val="both"/>
      </w:pPr>
      <w:r>
        <w:rPr>
          <w:rFonts w:ascii="Times New Roman"/>
          <w:b w:val="false"/>
          <w:i w:val="false"/>
          <w:color w:val="000000"/>
          <w:sz w:val="28"/>
        </w:rPr>
        <w:t>
      10) юридические лица и индивидуальные предприниматели, осуществляющие деятельность в жилых домах или отдельно стоящих зданиях (сооружениях), при пользовании централизованной системой сбора твердых бытовых отходов обязаны заключить договор на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 определенным местным исполнительным органам.</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p>
      <w:pPr>
        <w:spacing w:after="0"/>
        <w:ind w:left="0"/>
        <w:jc w:val="both"/>
      </w:pPr>
      <w:r>
        <w:rPr>
          <w:rFonts w:ascii="Times New Roman"/>
          <w:b w:val="false"/>
          <w:i w:val="false"/>
          <w:color w:val="000000"/>
          <w:sz w:val="28"/>
        </w:rPr>
        <w:t>
      10) частично или полностью прекращает предоставления услуг в случае неоплаты за коммунальные услуги потребителем в установленные сроки в полном обьеме по договору.</w:t>
      </w:r>
    </w:p>
    <w:p>
      <w:pPr>
        <w:spacing w:after="0"/>
        <w:ind w:left="0"/>
        <w:jc w:val="left"/>
      </w:pPr>
      <w:r>
        <w:rPr>
          <w:rFonts w:ascii="Times New Roman"/>
          <w:b/>
          <w:i w:val="false"/>
          <w:color w:val="000000"/>
        </w:rPr>
        <w:t xml:space="preserve"> Глава 4. Порядок расчета и оплаты коммунальных услуг</w:t>
      </w:r>
    </w:p>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 или по единому платежному документу по форме согласно приложению к Типовым правилам.</w:t>
      </w:r>
    </w:p>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5285).</w:t>
      </w:r>
    </w:p>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p>
      <w:pPr>
        <w:spacing w:after="0"/>
        <w:ind w:left="0"/>
        <w:jc w:val="left"/>
      </w:pPr>
      <w:r>
        <w:rPr>
          <w:rFonts w:ascii="Times New Roman"/>
          <w:b/>
          <w:i w:val="false"/>
          <w:color w:val="000000"/>
        </w:rPr>
        <w:t xml:space="preserve"> Глава 5. Порядок разрешения разногласий</w:t>
      </w:r>
    </w:p>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 В случае не урегулирования спора по согласованию сторон, потребитель имеет право обратиться в суд.</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либо всеми собственниками квартир, нежилых помещений, при непосредственном совместном управлении.</w:t>
      </w:r>
    </w:p>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rPr>
          <w:rFonts w:ascii="Times New Roman"/>
          <w:b/>
          <w:i w:val="false"/>
          <w:color w:val="000000"/>
        </w:rPr>
        <w:t xml:space="preserve"> Глава 6. Заключительные положения</w:t>
      </w:r>
    </w:p>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