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e3c9" w14:textId="980e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Хромтауского районного маслихата от 27 августа 2021 года № 89 "Об утверждении методики оценки деятельности административных государственных служащих корпуса "Б" государственного учреждения "Аппарат Хромтауского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марта 2022 года № 194.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№ 16299),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Изложить в новой редакции прилагаемую к данному решению "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Хромтауского районного маслихата"".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30 марта 2022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27 августа 2021 года № 89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Хромтауского районного маслихата"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Хромтауского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государственного учреждения "Аппарат Хромтауского районного маслихата" (далее -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в течение трех лет со дня завершения оценки хранятся у главного специалиста аппарата маслихата, в функциональные обязанности которого входит ведение работы кадровой службы (далее – главный специалист).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маслихата.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оценки непосредственный руководитель служащего корпуса "Б" заполняет лист оценки по КЦИ по форме, согласно приложению 2 к Типовой методике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аппарата маслихата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компетенций осуществляется непосредственным руководителем, по итогам которой заполняется оценочный лист по форме, согласно приложению 3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приложению 4 к Типовой методике. Количество поведенческих индикаторов по одной компетенции составляет не более десяти.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Типовой методикой оценки деятельности административных государственных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 приложению 5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