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34b" w14:textId="720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571. Утратил силу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1.3.3: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2.2.3: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3.3: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порядковому номеру 4.2: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