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c41" w14:textId="b8bb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5 октября 2022 года № 8/43-VII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Типовых правил выпаса сельскохозяйственных животных" от 29 апреля 2020 года № 145 (зарегистрирован в Реестре государственной регистрации нормативных правовых актов под № 20540),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8/43-VII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23/159-VIII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по области Абай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и определяют порядок выпаса сельскохозяйственных животных.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учҰта животных указываются: владелец, вид, пол, масть, возраст животного;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населҰнных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отдалҰнных от населҰнных пунктов территорий;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водоҰмами,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учҰту и регистрации.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под № 11127). Ветеринарный паспорт на сельскохозяйственных животных выдаҰтся индивидуально, за исключением мелкого рогатого скота, свиней.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выдаҰтся на группу (отару).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тҰмное и ночное время суток допускается только на отведҰнных для пастьбы пастбищах и других земельных участках.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тҰмное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заражҰнных заразными болезнями);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водоҰмов;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отдалҰнных, труднодоступных и малонаселҰнных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отведҰнных мест, а также в тҰмное время суток и условиях недостаточной видимости (кроме скотопрогонов на разных уровнях);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водоҰмах и водозаборах общего пользования.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под № 12259).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создаҰтся соответствующий запас кормов.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статьҰй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посҰлка,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населҰнных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населҰнного пункта, перемещается на другие участки пастбищ, в том числе на отгонные пастбища, согласно Плану.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посҰлка,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утверждҰнных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посҰлка,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всем пути перегона сельскохозяйственных животных не допускается смешивание групп.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Перегону на отгонные пастбища подлежат все виды и группы сельскохозяйственных животных необеспеченные пастбищами в пределах населҰнных пунктов, за исключением маточного (дойного) поголовья (в том числе перед отҰлом, родами и неокрепших после отҰла, родов) и больных сельскохозяйственных животных (в том числе заражҰнных заразными болезнями), неокрепшего новорождҰнного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Скотопрогоны размещаются с расчҰтом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большой протяжҰнности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Радиус водопоя сельскохозяйственных животных на равнинной местности пастбищ составляет: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районов, города областного значения обеспечивают: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отчҰта об итогах его реализации местному представительному органу района, города областного значения.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Акимы города районного значения, посҰлка, села, сельского округа перед началом пастбищного периода: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отчҰт о ходе его реализации органу местного самоуправления (сходу местного сообщества);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населҰнного пункта до места сбора стада, участков выпаса и обратно;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населҰнных пунктов;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посҰлка, села, сельского округа на отгонные пастбища;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Владельцы сельскохозяйственных животных, либо уполномоченные ими лица организуют: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населҰнных пунктов и на отгонных пастбищах;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населҰнных пунктов на отгонные пастбища.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Нарушение утверждҰнных соответствующими местными представительными органами правил выпаса сельскохозяйственных животных влечҰт ответственность, предусмотренную законодательством Республики Казахстан.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Правила выпаса сельскохозяйственных животных, разрабатываемые местными исполнительными органами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в зависимости от региональных особенностей, дополняются местными исполнительными органами иными положениями, не противоречащими законодательству Республики Казахстан.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Кобылы с жеребятами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 Абай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