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d274" w14:textId="581d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Бухар-Жырауского районного маслихата от 28 декабря 2021 года № 7 "О бюджетах сел, поселков и сельских округов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 августа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28 декабря 2021 года №7 "О бюджетах сел, поселков и сельских округов района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422 128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396 978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426 941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4 813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129 917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234 682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17 370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1 222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216 090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236 091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185 194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24 940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159 597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186 739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43 260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146 614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13 045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6 300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127 269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148 360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72 602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3 354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69 248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73 494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112 873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7 328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105 545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114 010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73 397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7 346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66 051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74 065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126 558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7 447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118 386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127 194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159 516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26 470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1 402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131 471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162 838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3 322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57 966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56 450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58 843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33 092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2 007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31 085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33 188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40 068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1 678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38 390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41 148тысяч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28 098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37 349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1 407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35 942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37 523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32 002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47 075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2 300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44 775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47 404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38 752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1 238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37 202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39 235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23 649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57 429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56 108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57 429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35 467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62 835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2 069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60 766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62 998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73 502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3 311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70 191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73 700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53 690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4 678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49 012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54 937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1 247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67 085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2 582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64 143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67 181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69 929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8 375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59 654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70 973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1 044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75 311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4 033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71 278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75 566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41 883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1 203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40 680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41 883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50 701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5 512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5 214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39 975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51 274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27 506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83 708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3 479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80 229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84 082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38 941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64 003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62 295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64 752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749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71 791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8 202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63 589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72 336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58 981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44 387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14 594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60 741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тысяч тенге.";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2022 года.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