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2cb8" w14:textId="2ef2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Бухар-Жырауского районного маслихата от 28 декабря 2021 года № 7 "О бюджетах сел, поселков и сельских округов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18 мая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Бухар-Жырауского районного маслихата от 28 декабря 2021 года №7 "О бюджетах сел, поселков и сельских округов района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320 290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24 410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295 140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325 103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4 813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129 917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160 596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145 526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162 005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1 409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241 601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137 211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104 390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244 627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3 026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4 879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153 033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24 940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657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127 436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154 578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1 545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43 260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92 754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10 045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6 300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76 409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94 500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72 102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2 854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69 248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72 994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76 357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5 150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71 207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77 494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1 137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71 128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3 846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67 282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71 796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94 969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88 339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95 169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138 822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24 645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1 402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112 602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142 144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3 322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60 690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59 174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61 567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32 810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1 725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31 085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32 811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42 416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1 366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41 050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43 496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28 098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37 163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1 098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36 065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37 294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32 002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49 490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47 190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49 819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42 118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1 121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40 997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42 601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23 649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58 143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1 321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56 822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58 143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35 467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69 097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1 569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67 528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69 260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76 015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3 007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73 008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76 213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81 759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4 678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77 081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83 006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1 247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61 563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2 372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58 831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61 659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70 359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7 563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1 900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60 896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71 020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62 775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2 833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59 942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63 030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45 846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1 203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44 643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45 846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61 322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2 879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58 443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61 324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38 941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45 013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43 305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45 762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749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78 566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8 202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70 364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79 111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60 954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42 510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18 444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62 714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1 760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тысяч тенге.";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2022 года.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8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2022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2022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2022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2022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2022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2022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2022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2022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2022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2022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2022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2022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2022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2022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2022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2022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1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2022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2022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2022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2022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2022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2022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2022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2022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2022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2022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