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e640" w14:textId="c18e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Бухар-Жырауского районного маслихата от 28 декабря 2021 года № 7 "О бюджетах сел, поселков и сельских округов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декабря 2022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бюджетах сел, поселков и сельских округов района на 2022-2024 годы" от 28 декабря 2021 года №7 (зарегистрировано в Реестре государственной регистрации нормативных правовых актов под №163111)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441 805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413 418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446 618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4 813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129 917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194 997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16 772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6 228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171 997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196 406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1 409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232 470 тысяч тенге, в том числе по: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137 211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95 259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235 496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3 026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4 879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192 774 тысяч тенге, в том числе по: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20 737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1 210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170 827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194 319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1 545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43 260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148 717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14 545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7 350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126 822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150 463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72 361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3 431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68 930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73 253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96 894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7 628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89 266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98 031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1 137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77 829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7 786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70 043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78 497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131 889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8 035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123 131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132 525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163 553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27 278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1 915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134 187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166 875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3 322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79 617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78 101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80 494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32 822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2 007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30 815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32 918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41 276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1 678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39 598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42 356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28 098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37 889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1 953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35 936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38 063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32 002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43 532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41 232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43 861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38 374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1 238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36 824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38 857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23 649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57 429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1 321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56 108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57 429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35 467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66 090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2 566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63 524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66 253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71 588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3 311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68 277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71 786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51 938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4 442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47 496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53 185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1 247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64 144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2 588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354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61 202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64 240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69 947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7 464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1 975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60 508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70 991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1 044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79 813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4 473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75 340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80 068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42 267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1 203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41 064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42 267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50 442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5 512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5 214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39 716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51 015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27 506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69 212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3 479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65 733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69 586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38 941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71 914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1 179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529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70 206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72 663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749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72 470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8 202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64 268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73 015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54 394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44 387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10 007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56 154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1 760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2022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2022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2022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2022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2022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2022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2022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2022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2022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2022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2022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2022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2022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2022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2022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2022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2022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2022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2022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2022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2022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2022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2022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2022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2022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2022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2022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2022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