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ee757" w14:textId="bfee7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сельского округа Байтуган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сельского округа Байтуган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сельского округа Байтуган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162</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Байтуган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Байтуган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 на территории сельского округа Байтуган Нуринского района Карагандинской области (далее – сельский округ Байтуган).</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Байтуган,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Байтуган подразделяется на участки: сел Байтуган и Жана-Курылыс.</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для участия в сходе местного сообщества избираются представители села Байтуган и села Жана-Курылыс, но не более трех человек из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сельского округа Байтуган.</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Байтуган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сельского округа Байтуган.</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Байтуган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Байтуган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Байтуган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162</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сельского округа Байтуган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Байтуган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Жана-Курылыс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