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2db7" w14:textId="9642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14 сессии Осакаровского районного маслихата от 24 декабря 2021 года № 157 "О бюджете поселков, сельских округов Осакаровского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12 октября 2022 года № 305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14 сессии Осакаровского районного маслихата от 24 декабря 2021 года № 157 "О бюджете поселков, сельских округов Осакаровского района на 2022-2024 годы" (зарегистрировано в Реестре государственной регистрации нормативных правовых актов за № 162371),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Осакаровка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119 908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56 882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2 532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60 494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131 293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- 11 385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11 385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11 385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Молодежный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85 270 тысяч тенге, в том числе по: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27 580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57 690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87 941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- 2 671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2 671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2 671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сельского округа Есиль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51 316 тысяч тенге, в том числе по: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19 419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31 897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52 716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- 1400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1 400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1 400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Батпактинского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93 119 тысяч тенге, в том числе по: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12 001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81 118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93 779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660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660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сельского округа Сункар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52 322 тысяч тенге, в том числе по: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1 709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50 613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52 472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- 150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Маржанкольского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29 574 тысяч тенге, в том числе по: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1 224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28 350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29 574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Утвердить бюджет Озерного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 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42 352 тысяч тенге, в том числе по: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5 120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37 232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42 352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Утвердить бюджет Кундуздинского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 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35 181 тысяч тенге, в том числе по: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1 684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33 497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35 181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Николаевского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35 348 тысяч тенге, в том числе по: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2 551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32 797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35 688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- 340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340 тысяч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340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Садового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34 429 тысяч тенге, в том числе по: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6 791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27 638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35 149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- 720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720 тысяч тенге, в том числе: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720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сельского округа Сарыозек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50 810 тысяч тенге, в том числе по: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5 294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45 516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51 240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- 430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430 тысяч тенге, в том числе: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430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Звездного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41 071 тысяч тенге, в том числе по: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1 644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245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39 182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41 071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Шидертинского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38 038 тысяч тенге, в том числе по: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7 699 тысяч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30 339 тысяч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38 038 тысяч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сельского округа Акбулак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36 747 тысяч тенге, в том числе по: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4 856 тысяч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31 891 тысяч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38 077 тысяч тенге;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- 1 330 тысяч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1 330 тысяч тенге, в том числе: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1 330 тысяч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Тельманского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30 589 тысяч тенге, в том числе по: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3 035 тысяч тенге;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27 554 тысяч тенге;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30 839 тысяч тенге;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- 250 тысяч тенге;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 тысяч тенге, в том числе: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250 тысяч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Трудового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33 250 тысяч тенге, в том числе по: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8 961 тысяч тенге;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24 289 тысяч тенге;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33 250 тысяч тенге;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315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2022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- 11 385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318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321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2022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324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327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Есиль на 2022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330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333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Батпактинского сельского округа на 2022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336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339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Сункар на 2022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342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345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Маржанкольского сельского округа на 2022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348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351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2022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354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357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Кундуздинского сельского округа на 2022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360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363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2022 год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366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369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2022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372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375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Сарыозек на 2022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378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381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Звездного сельского округа на 2022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384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387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Шидертинского сельского округа на 2022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390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393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2022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396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399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2022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02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05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Трудового сельского округа на 2022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08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