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148c" w14:textId="5211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4 ноября 2022 года № 269</w:t>
      </w:r>
    </w:p>
    <w:p>
      <w:pPr>
        <w:spacing w:after="0"/>
        <w:ind w:left="0"/>
        <w:jc w:val="both"/>
      </w:pPr>
      <w:bookmarkStart w:name="z4"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акимат Денисовского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акимата Денисовского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Денисовского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ноября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w:t>
            </w:r>
          </w:p>
        </w:tc>
      </w:tr>
    </w:tbl>
    <w:bookmarkStart w:name="z16" w:id="7"/>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в организации,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"Сарыагаш"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