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965d" w14:textId="6549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Лесное"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9 августа 2022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Лесное".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Лесное"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села Лесное.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Лесное"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Лесное",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округа, а также решение вопросов местного значения.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Лесное"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Лесное"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Лесное"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Лесное"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Лесное"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акима села Лесное"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села Лесное", правовыми актами акима Карабалыкского района,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"Аппарат акима села Лесное"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110912, Республика Казахстан, Костанайская область, Карабалыкский район, село Лесное, улица Жастар, дом 7.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Лесное".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Лесное"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Лесное"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Лесное".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государственному учреждению "Аппарат акима села Лесное"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 в рамках установленной законодательством Республики Казахстан компетенцией.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Лесное" имеет право быть истцом и ответчиком в суде;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планирование и исполнение бюджета сельского округа;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принимает решение о реализации бюджета сельского округа;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осуществляет контроль за целевым и эффективным использованием коммунального имущества местного самоуправления;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организует учет коммунального имущества местного самоуправления, обеспечивает его эффективное использование;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в средствах массовой информации, опубликование нормативных правовых актов;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аппарата, проводит совещания, семинары и другие мероприятия, организует их подготовку и проведение;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проекты решений и распоряжений акима сельского округа;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надлежащее оформление и рассылку актов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соответствии с планами делопроизводство государственного учреждения "Аппарат акима села Лесное";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широкое применение государственного языка;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улучшению стиля и методов работы, внедрению новых информационных технологий;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доступность стандартов и регламентов государственных услуг;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 в рамках установленной законодательством Республики Казахстан компетенцией.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акима села Лесное"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села Лесное" задач и осуществление им своих функций.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акима села Лесное" назначается на должность и освобождается от должности акимом Карабалыкского района.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"Аппарат акима села Лесное":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"Аппарат акима села Лесное" в государственных органах, иных организациях независимо от форм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села Лесное";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села Лесное", и несет персональную ответственность за принятие ненадлежащих антикоррупционных мер;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села Лесное" и несет персональную ответственность за выполнение возложенных задач и функций;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"Аппарат акима села Лесное", осуществляющих техническое обслуживание и обеспечивающих функционирование государственного учреждения "Аппарат акима села Лесное" и не являющихся государственными служащими, вопросы трудовых отношений которых отнесены к его компетенции;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устанавливается в соответствии с регламентом работы государственного учреждения "Аппарат акима села Лесное", утвержденного приказом первого руководителя государственного учреждения "Аппарат акима села Лесное" Исполнение полномочий первого руководителя государственного учреждения "Аппарат акима села Лесное"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"Аппарат акима села Лесное" возглавляется руководителем аппарата, назначаемым на должность и освобождаемым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"Аппарат акима села Лесное"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акима села Лесное"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акима села Лесное", относится к коммунальной собственности.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"Аппарат акима села Лесное"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"Аппарат акима села Лесное"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