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286048f" w14:textId="286048f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схемы пастбищеоборотов на основании геоботанического обследования пастбищ на 2022 - 2023 годы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 w:val="false"/>
          <w:i w:val="false"/>
          <w:color w:val="000000"/>
          <w:sz w:val="28"/>
        </w:rPr>
        <w:t>С истёкшим сроком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Узункольского района Костанайской области от 11 апреля 2022 года № 59. Прекращено действие в связи с истечением срока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31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местном государственном управлении и самоуправлении в Республике Казахстан", подпунктом 3) пункта 1 </w:t>
      </w:r>
      <w:r>
        <w:rPr>
          <w:rFonts w:ascii="Times New Roman"/>
          <w:b w:val="false"/>
          <w:i w:val="false"/>
          <w:color w:val="000000"/>
          <w:sz w:val="28"/>
        </w:rPr>
        <w:t>статьи 9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акимат Узункольского района ПОСТАНОВЛЯЕТ: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схему пастбищеоборотов на основании геоботанического обследования пастбищ на 2022-2023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Государственному учреждению "Отдел сельского хозяйства акимата Узункольского района" в установленном законодательством Республики Казахстан порядке обеспечить: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размещение настоящего постановления на интернет-ресурсе акимата Узункольского района.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течении двадцати календарных дней со дня подписания настоящего постановления направление его копии в электронном виде на казахском и русском языках в филиал Республиканского государственного предприятия на праве хозяйственного ведения "Институт законодательства и правовой информации Республики Казахстан" Министерства юстиции Республики Казахстан по Костанайской области для официального опубликования и включения в Эталонный контрольный банк нормативных правовых актов Республики Казахстан.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курирующего заместителя акима Узункольского района.</w:t>
      </w:r>
    </w:p>
    <w:bookmarkEnd w:id="5"/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вводится в действие со дня официального опубликования.</w:t>
      </w:r>
    </w:p>
    <w:bookmarkEnd w:id="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Аким района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 Сандыбаев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апреля 2022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59</w:t>
            </w:r>
          </w:p>
        </w:tc>
      </w:tr>
    </w:tbl>
    <w:bookmarkStart w:name="z17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геоботаническом состоянии пастбищ в Узункольском районе</w:t>
      </w:r>
    </w:p>
    <w:bookmarkEnd w:id="7"/>
    <w:bookmarkStart w:name="z18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сведения</w:t>
      </w:r>
    </w:p>
    <w:bookmarkEnd w:id="8"/>
    <w:bookmarkStart w:name="z19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Узункольский район расположен в северо-востоке части Костанайской области. На юге район граничит с Сарыкольским районом, на западе - с Мендыкаринским районом, на востоке - с Жамбылским районом Северо-Казахстанской области, на юго-востоке - с Тимирязевским районом Северо-Казахстанской области, на севере - с Курганской областью России. Районный центр с. Узунколь находится в центральной части района. Расстояние от с. Узунколь до областного центра г. Костанай - 160 км.</w:t>
      </w:r>
    </w:p>
    <w:bookmarkEnd w:id="9"/>
    <w:bookmarkStart w:name="z20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района резко континентальный. В пределах района выделены три природно-климатические зоны: умеренно засушливый, сочетающимся со степной и лесостепной зонами. Преобладающее направление ветра – юго-западное.</w:t>
      </w:r>
    </w:p>
    <w:bookmarkEnd w:id="10"/>
    <w:bookmarkStart w:name="z21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района разделена на 11 сельских округов и сел.</w:t>
      </w:r>
    </w:p>
    <w:bookmarkEnd w:id="11"/>
    <w:bookmarkStart w:name="z22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Ведущими отраслями сельского хозяйства в районе является земледелие и животноводство. Основное направление района зерновое с мясомолочным животноводством. В системе земледелия возделывается пшеница, ячмень, кукуруза, гречиха, подсолнечник, многолетние травы идут для обеспечения животноводства кормами. На землях сельскохозяйственного назначения, с интенсивным развитием животноводства увеличивается использование пастбищных угодий.</w:t>
      </w:r>
    </w:p>
    <w:bookmarkEnd w:id="12"/>
    <w:bookmarkStart w:name="z23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Содержание скота в районе полустойловое. Пастбищный период начинается в конце апреля – начале мая и заканчивается в конце октября – начале ноября. Зимнее содержание скота стойловое. Корма на стойловый период частично заготавливаются с природных сенокосов, с участков коренного улучшения, а также отходов зернового хозяйства.</w:t>
      </w:r>
    </w:p>
    <w:bookmarkEnd w:id="13"/>
    <w:bookmarkStart w:name="z24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Площадь земель Узункольского района в разрезе категорий</w:t>
      </w:r>
    </w:p>
    <w:bookmarkEnd w:id="1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Всего, 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га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земель сельскохозяйственного назначения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476 269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78 337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населенных пунктов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70 659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50 570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промышленности, транспорта, связи и иного несельскохозяйственного назначения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лесного фонда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49 573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3 940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запаса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118 314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72 973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715 581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205 820</w:t>
            </w:r>
          </w:p>
        </w:tc>
      </w:tr>
    </w:tbl>
    <w:bookmarkStart w:name="z25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Узункольского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5"/>
    <w:bookmarkStart w:name="z26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7810500" cy="897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7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объектов пастбищной инфраструктуры</w:t>
      </w:r>
    </w:p>
    <w:bookmarkEnd w:id="17"/>
    <w:bookmarkStart w:name="z28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7810500" cy="897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7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Рельеф</w:t>
      </w:r>
    </w:p>
    <w:bookmarkEnd w:id="19"/>
    <w:bookmarkStart w:name="z30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района относится к Западно-Сибирской низменности, которая представляет собой по рельефу однообразную, плоскую, слабоволнистую, недринированную поверхность, испещренную многочисленными бессточными впадинами, занятыми озерами.</w:t>
      </w:r>
    </w:p>
    <w:bookmarkEnd w:id="20"/>
    <w:bookmarkStart w:name="z31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Характерной особенностью рельефа является распространение степных западин и "блюдец" с березовыми и березово-осиновыми рощами-колками или лугами и болотами, часто окаймленными ивовыми кустарниками.</w:t>
      </w:r>
    </w:p>
    <w:bookmarkEnd w:id="21"/>
    <w:bookmarkStart w:name="z32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Природные условия, прежде всего климат, почва и рельеф Узункольского района благоприятны для выращивания зерновых и кормовых культур. Участки с естественной растительностью могут использоваться для получения пастбищных кормов и сена.</w:t>
      </w:r>
    </w:p>
    <w:bookmarkEnd w:id="22"/>
    <w:bookmarkStart w:name="z33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Микрорельеф соответствует комплексности почвенного покрова. Территория района относится к зоне черноземов, к подзоне обыкновенных черноземов.</w:t>
      </w:r>
    </w:p>
    <w:bookmarkEnd w:id="23"/>
    <w:bookmarkStart w:name="z34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Рельеф района благоприятствует применении различной современной техники для обработки почвы, посева и уборки сельскохозяйственных культур, и благоприятен для выпаса скота, за исключением небольших участков, т.е. рельеф не препятствует механической обработке почвы и возделыванию сельскохозяйственных культур.</w:t>
      </w:r>
    </w:p>
    <w:bookmarkEnd w:id="24"/>
    <w:bookmarkStart w:name="z35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Растительность</w:t>
      </w:r>
    </w:p>
    <w:bookmarkEnd w:id="25"/>
    <w:bookmarkStart w:name="z36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Массив землепользования района расположен в подзоне умерено-засушливых степей. В основном преобладают ковыльно-типчаковые разнотравные степи. Травостой на пастбищах находится в среднем состоянии.</w:t>
      </w:r>
    </w:p>
    <w:bookmarkEnd w:id="26"/>
    <w:bookmarkStart w:name="z37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Участки с естественной растительностью, на которых предусматривается выпас скота, разбросаны по всей территории района.</w:t>
      </w:r>
    </w:p>
    <w:bookmarkEnd w:id="27"/>
    <w:bookmarkStart w:name="z38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Пастбищные угодья представлены в большинстве комплексными сочетаниями ковыльно-типчаково-полынные, типчаково-полынные, злаково-полынно-разнотравные, пырейно-вейниково-злаковые, осоково-злаковые и осоково-злаково-тростниковые сообществами. </w:t>
      </w:r>
    </w:p>
    <w:bookmarkEnd w:id="28"/>
    <w:bookmarkStart w:name="z39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целом пастбища подвержены вольному выпасу сельскохозяйственными животными, в результате несбалансированного использования пастбищ в растительном покрове встречается повсеместно сорное непоедаемое разнотравье (крестовик Якова, икотник серый, осост полевой, чихотная трава и т.д.). Это ведет к вырождению естественного травостоя, падению продуктивности пастбищ. Укорачивается сезон их использования. Вследствие чего, необходимо, упорядочить выпас по сезонам, уменьшить нагрузку скота на единицу площади, а в некоторых случаях произвести подсев многолетних трав.</w:t>
      </w:r>
    </w:p>
    <w:bookmarkEnd w:id="29"/>
    <w:bookmarkStart w:name="z40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Ниже приводится схема шестизагонного пастбищеоборота на естественных пастбищах.</w:t>
      </w:r>
    </w:p>
    <w:bookmarkEnd w:id="30"/>
    <w:bookmarkStart w:name="z41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Образец схемы шестизагонного пастбищеоборота с однократным стравливанием с указанием календарного графика по использованию пастбищ</w:t>
      </w:r>
    </w:p>
    <w:bookmarkEnd w:id="3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загонов 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V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VI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24.04. по 02.06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03.06. по 12.07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13.07. по 21.08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22.08. по 30.09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01.10. по 10.11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24.04. по 02.06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03.06. по 12.07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13.07. по 21.08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22.08. по 30.09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01.10. по 10.11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24.04. по 02.06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03.06. по 12.07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13.07. по 21.08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22.08. по 30.09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01.10. по 10.11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24.04. по 02.06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03.06. по 12.07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13.07. по 21.08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22.08. по 30.09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01.10. по 10.11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24.04. по 02.06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03.06. по 12.07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13.07. по 21.08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22.08. по 30.09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01.10. по 10.11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24.04. по 02.06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03.06. по 12.07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13.07. по 21.08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22.08. по 30.09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01.10. по 10.11</w:t>
            </w:r>
          </w:p>
        </w:tc>
      </w:tr>
    </w:tbl>
    <w:bookmarkStart w:name="z42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Как видно из схемы пастбищеоборота, периодически один раз за 6 лет травостою пастбища предоставляется "отдых", который предотвращает деградацию пастбищ.</w:t>
      </w:r>
    </w:p>
    <w:bookmarkEnd w:id="32"/>
    <w:bookmarkStart w:name="z43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Гидрография и обводненность</w:t>
      </w:r>
    </w:p>
    <w:bookmarkEnd w:id="33"/>
    <w:bookmarkStart w:name="z44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Гидрография района представлена реками Убаган и Карасу, а также озерами, группирующимся в обширных неглубоких бессточных депрессиях. В этих депрессиях располагаются сравнительно крупные озера: Балыкты, Большое, Кайран-Куль и другие озера.</w:t>
      </w:r>
    </w:p>
    <w:bookmarkEnd w:id="34"/>
    <w:bookmarkStart w:name="z45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большинстве озера имеют малую площадь зеркала и отличаются при этом незначительной глубиной. Объем воды, площадь зеркала и глубина озер весьма изменчива и зависят от количества выпавших атмосферных осадков.</w:t>
      </w:r>
    </w:p>
    <w:bookmarkEnd w:id="35"/>
    <w:bookmarkStart w:name="z46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Кроме естественных водоисточников на территории Узункольского района расположено 365 озер, имеются копани, которые используются для водопоя скота.</w:t>
      </w:r>
    </w:p>
    <w:bookmarkEnd w:id="36"/>
    <w:bookmarkStart w:name="z47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целом источники водопотребления в районе полностью удовлетворяют потребность сельскохозяйственных животных.</w:t>
      </w:r>
    </w:p>
    <w:bookmarkEnd w:id="37"/>
    <w:bookmarkStart w:name="z48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Геоботаника пастбищ</w:t>
      </w:r>
    </w:p>
    <w:bookmarkEnd w:id="38"/>
    <w:bookmarkStart w:name="z49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определения урожайности пастбищ были взяты данные геоботанического обследования, проведенным специалистами Республиканского государственного предприятия "ГосНПЦзем" в 1980-2006 годах. Средняя урожайность сухой массы пастбищных угодий 3,3 ц/га, в перерасчете на кормовые единицы 1,5 ц/га. Исходя из этого можно рассчитать запас кормов в кормовых единицах на землях района, который составит: 1,5*224 956 га=337434 центнеров кормовых единиц.</w:t>
      </w:r>
    </w:p>
    <w:bookmarkEnd w:id="39"/>
    <w:bookmarkStart w:name="z50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Запас кормов с пастбищ используется в пастбищный период, продолжительность которого 180-200 дней. Запас кормов с сенокосов и искусственных сенокосов используется в стойловый период.</w:t>
      </w:r>
    </w:p>
    <w:bookmarkEnd w:id="40"/>
    <w:bookmarkStart w:name="z51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6. Емкость пастбищ</w:t>
      </w:r>
    </w:p>
    <w:bookmarkEnd w:id="41"/>
    <w:bookmarkStart w:name="z52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Определение емкости пастбищ в пастбищный период проведены на основе имеющихся данных о продуктивности пастбищ. Ориентировочно взяты следующие нормы зеленого корма (в среднем на одну голову): крупному рогатому скоту (КРС) - 4 кг, малому рогатому скоту (МРС) - 2 кг, лошадям - 6 кг. Продолжительность пастбищного периода 180-200 дней. Таким образом, зная урожаи пастбища, суточную потребность животного в зеленом корме и продолжительность пастбищного периода, можно определить емкость пастбища.</w:t>
      </w:r>
    </w:p>
    <w:bookmarkEnd w:id="42"/>
    <w:bookmarkStart w:name="z53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среднем урожае пастбищ 3,3 центнеров сухой массы с гектара, продолжительности пастбищного периода 180 дней, одной голове КРС требуется в сутки 4 кг зеленого корма, следовательно, на весь пастбищный период потребуется 4*180=720 кг или 7,2 ц.</w:t>
      </w:r>
    </w:p>
    <w:bookmarkEnd w:id="43"/>
    <w:bookmarkStart w:name="z54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численности поголовья сельскохозяйственных животных в разрезе сел и сельских округов</w:t>
      </w:r>
    </w:p>
    <w:bookmarkEnd w:id="4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 и сел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поголовья с/х животных, голова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Бауманское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Ершовский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Кировский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Новопокровский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Обаган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Ряжский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Сатай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Троебратское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12 763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16 640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5 175</w:t>
            </w:r>
          </w:p>
        </w:tc>
      </w:tr>
    </w:tbl>
    <w:bookmarkStart w:name="z55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Расчет суточной потребности зеленых кормов сельскохозяйственным животным в разрезе сельских округов и сел</w:t>
      </w:r>
    </w:p>
    <w:bookmarkEnd w:id="4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 и сел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зеленых кормов, кг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Бауманское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2 342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Ершовский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10 756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4 210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7 476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Кировский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3 736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Новопокровский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9 584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2 428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3 768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7 960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3 906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Обаган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2 684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2 682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2 334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Ряжский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1 864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1 410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Сатай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1 886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3 996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Троебратское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1 844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2 678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1 368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4 856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4 076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4 962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51 052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33 280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31 050</w:t>
            </w:r>
          </w:p>
        </w:tc>
      </w:tr>
    </w:tbl>
    <w:bookmarkStart w:name="z56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ветеринарно-санитарных объектах района</w:t>
      </w:r>
    </w:p>
    <w:bookmarkEnd w:id="4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округов и сел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Ветеринарный пункт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Откорм площадки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Скотомогильники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Бауманский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Ершовский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Кировский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Новопокровский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Пресногорьковский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Обаган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Ряжский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Сатай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Троебратское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57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7. Выводы</w:t>
      </w:r>
    </w:p>
    <w:bookmarkEnd w:id="47"/>
    <w:bookmarkStart w:name="z58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районе имеется 205 820 га пастбищ, именно поэтому вопрос реализации Плана по управлению пастбищами и их использованию на территории земель Узункольского района даст возможность более эффективно и рационально использовать земли, чтобы создать условия для получения высокой продуктивности пастбищ, сохранить ценный состав травостоя в течение длительного времени, обеспечить пастбищными кормами наибольшее количество животных, получить высокий выход животноводческой продукции и увеличить поголовье скота.</w:t>
      </w:r>
    </w:p>
    <w:bookmarkEnd w:id="48"/>
    <w:bookmarkStart w:name="z59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"/>
    <w:p>
      <w:pPr>
        <w:spacing w:after="0"/>
        <w:ind w:left="0"/>
        <w:jc w:val="both"/>
      </w:pPr>
      <w:r>
        <w:drawing>
          <wp:inline distT="0" distB="0" distL="0" distR="0">
            <wp:extent cx="7810500" cy="883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