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483" w14:textId="c18e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21 ноября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Узункольского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Узункольского района" является государственным органом Республики Казахстан, осуществляющим руководство в сфере предпринимательства и реализации государственной политики поддержки и развития частного предпринимательства.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акимата Узункольского района"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акимата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акимата Узункольского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акимата Узункольского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акимата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предпринимательства акимата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Узункольского района", правовыми актами акима Узункольского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предпринимательства акимата Узункольского района"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Мусрепова, дом 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Узункольского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предпринимательства акимата Узункольского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предпринимательства акимата Узункольского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предпринимательства акимата Узункольского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акимата Узункольского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основных направлений государственной политики в сферах промышленности, туризма, предпринимательства и торговли;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ответственность за реализацию и исполнение государственных программ;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частного предпринимательства;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акима, акимата района предложения по своей компетенции;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прав и обязанностей в соответствии с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государственной поддержки частного предпринимательства на местном уровне;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предложений к проектам правовых и нормативных правовых актов по вопросам защиты, поддержки и развития предпринимательства;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экспертных советов по вопросам предпринимательства;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развития предпринимательской деятельности и инвестиционного климата на территории района;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постановлений, решений по вопросам, входящим в компетенцию отдела;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 и принятие необходимых мер;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других функций, отвечающих целям и задачам государственного учреждения "Отдел предпринимательства акимата Узункольского района", не противоречащих действующему законодательству;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размера торговой надбавки на социально значимые продовольственные товары.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предпринимательства акимата Узункольского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Узункольского района" задач и осуществление им своих функций.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предпринимательства акимата Узункольского района" назначается на должность и освобождается от должности акимом Узункольского района.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предпринимательства акимата Узункольского района":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"Отдел предпринимательства акимата Узункольского района" в государственных органах, иных организациях независимо от форм собственности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предпринимательства акимата Узункольского района";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предпринимательства акимата Узункольского района", и несет персональную ответственность за принятие ненадлежащих антикоррупционных мер;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предпринимательства акимата Узункольского района" и несет персональную ответственность за выполнение возложенных задач и функций;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"Отдел предпринимательства акимата Узункольского района", осуществляющих техническое обслуживание и обеспечивающих функционирование государственного учреждения "Отдел предпринимательства акимата Узункольского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"Отдел предпринимательства акимата Узункольского района", утвержденного приказом первого руководителя государственного учреждения "Отдел предпринимательства акимата Узункольского района".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 предпринимательства акимата Узункольского района" в период его отсутствия осуществляется лицом, его замещающим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"Отдел предпринимательства акимата Узункольского района" возглавляется руководителем, назначаемым на должность и освобождаемым от должности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предпринимательства акимата Узункольского района"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предпринимательства акимата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предпринимательства акимата Узункольского района", относится к коммунальной собственности.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предпринимательства акимата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предпринимательства акимата Узункольского района"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