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81b1" w14:textId="92d8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Актогайскому району</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24 июня 2022 года № 187</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Типовых Правил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геологии и природных ресурсов Республики Казахстан от 1 сентября 2021 года № 347, акимат Актогайского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Актогайскому району согласно приложению.</w:t>
      </w:r>
    </w:p>
    <w:bookmarkEnd w:id="1"/>
    <w:bookmarkStart w:name="z3" w:id="2"/>
    <w:p>
      <w:pPr>
        <w:spacing w:after="0"/>
        <w:ind w:left="0"/>
        <w:jc w:val="both"/>
      </w:pPr>
      <w:r>
        <w:rPr>
          <w:rFonts w:ascii="Times New Roman"/>
          <w:b w:val="false"/>
          <w:i w:val="false"/>
          <w:color w:val="000000"/>
          <w:sz w:val="28"/>
        </w:rPr>
        <w:t>
      2. Контроль за исполнением данного постановления возложить на курирующего заместителя акима района.</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"24" июня 2022 года</w:t>
            </w:r>
            <w:r>
              <w:br/>
            </w:r>
            <w:r>
              <w:rPr>
                <w:rFonts w:ascii="Times New Roman"/>
                <w:b w:val="false"/>
                <w:i w:val="false"/>
                <w:color w:val="000000"/>
                <w:sz w:val="20"/>
              </w:rPr>
              <w:t>№ 187</w:t>
            </w:r>
          </w:p>
        </w:tc>
      </w:tr>
    </w:tbl>
    <w:bookmarkStart w:name="z5"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Актогайскому району</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Актогайскому району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Типовыми правилами расчета норм образования и накопления коммунальных отходов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геологии и природных ресурсов Республики Казахстан от 1 сентября 2021 года № 347 и определяют порядок расчета норм образования и накопления коммунальных отходов по Актогайскому району.</w:t>
      </w:r>
    </w:p>
    <w:p>
      <w:pPr>
        <w:spacing w:after="0"/>
        <w:ind w:left="0"/>
        <w:jc w:val="both"/>
      </w:pPr>
      <w:r>
        <w:rPr>
          <w:rFonts w:ascii="Times New Roman"/>
          <w:b w:val="false"/>
          <w:i w:val="false"/>
          <w:color w:val="000000"/>
          <w:sz w:val="28"/>
        </w:rPr>
        <w:t xml:space="preserve">
      2. Под коммунальными отходами понимаются следующие отходы потребления: </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xml:space="preserve">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 согласно Экологического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2 января 2021 года № 400-VI ЗРК.</w:t>
      </w:r>
    </w:p>
    <w:bookmarkStart w:name="z7" w:id="5"/>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5"/>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xml:space="preserve">
      9. На выбранные объекты перед проведением замеров государственным учреждением "Отдел реального сектора экономики Актогайского района" совместно с коммунальным государственным предприятием "Актогай-Су",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государственным учреждением "Отдел реального сектора экономики Актогайского района"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государственным учреждением "Отдел реального сектора экономики Актогайского района"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16. После проведения сезонных замеров, государственное учреждение "Отдел реального сектора экономики Актогайского района"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Start w:name="z8" w:id="6"/>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6"/>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государственным учреждением "Отдел реального сектора экономики Актогайского района" в течении трех рабочих дней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Актогайскому району</w:t>
            </w:r>
          </w:p>
        </w:tc>
      </w:tr>
    </w:tbl>
    <w:bookmarkStart w:name="z10" w:id="7"/>
    <w:p>
      <w:pPr>
        <w:spacing w:after="0"/>
        <w:ind w:left="0"/>
        <w:jc w:val="both"/>
      </w:pPr>
      <w:r>
        <w:rPr>
          <w:rFonts w:ascii="Times New Roman"/>
          <w:b w:val="false"/>
          <w:i w:val="false"/>
          <w:color w:val="000000"/>
          <w:sz w:val="28"/>
        </w:rPr>
        <w:t>
      Виды объектов жилищного фонда и нежилые помещения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Актогайскому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 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 Общая площадь помещений, м2 _____________________________________</w:t>
      </w:r>
    </w:p>
    <w:p>
      <w:pPr>
        <w:spacing w:after="0"/>
        <w:ind w:left="0"/>
        <w:jc w:val="both"/>
      </w:pPr>
      <w:r>
        <w:rPr>
          <w:rFonts w:ascii="Times New Roman"/>
          <w:b w:val="false"/>
          <w:i w:val="false"/>
          <w:color w:val="000000"/>
          <w:sz w:val="28"/>
        </w:rPr>
        <w:t>
      торговая___________________________________________________________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Актогайскому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Бланк первичных записей</w:t>
      </w:r>
    </w:p>
    <w:p>
      <w:pPr>
        <w:spacing w:after="0"/>
        <w:ind w:left="0"/>
        <w:jc w:val="both"/>
      </w:pPr>
      <w:r>
        <w:rPr>
          <w:rFonts w:ascii="Times New Roman"/>
          <w:b w:val="false"/>
          <w:i w:val="false"/>
          <w:color w:val="000000"/>
          <w:sz w:val="28"/>
        </w:rPr>
        <w:t>
      _________________ по объекту ______________________________________________</w:t>
      </w:r>
    </w:p>
    <w:p>
      <w:pPr>
        <w:spacing w:after="0"/>
        <w:ind w:left="0"/>
        <w:jc w:val="both"/>
      </w:pPr>
      <w:r>
        <w:rPr>
          <w:rFonts w:ascii="Times New Roman"/>
          <w:b w:val="false"/>
          <w:i w:val="false"/>
          <w:color w:val="000000"/>
          <w:sz w:val="28"/>
        </w:rPr>
        <w:t>
      (дата)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w:t>
            </w:r>
          </w:p>
          <w:p>
            <w:pPr>
              <w:spacing w:after="20"/>
              <w:ind w:left="20"/>
              <w:jc w:val="both"/>
            </w:pPr>
            <w:r>
              <w:rPr>
                <w:rFonts w:ascii="Times New Roman"/>
                <w:b w:val="false"/>
                <w:i w:val="false"/>
                <w:color w:val="000000"/>
                <w:sz w:val="20"/>
              </w:rPr>
              <w:t>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Актогайскому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Сводная месячная (сезонная) ведомость </w:t>
      </w:r>
    </w:p>
    <w:p>
      <w:pPr>
        <w:spacing w:after="0"/>
        <w:ind w:left="0"/>
        <w:jc w:val="both"/>
      </w:pPr>
      <w:r>
        <w:rPr>
          <w:rFonts w:ascii="Times New Roman"/>
          <w:b w:val="false"/>
          <w:i w:val="false"/>
          <w:color w:val="000000"/>
          <w:sz w:val="28"/>
        </w:rPr>
        <w:t>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Ф.И.О.(при его наличии), должность</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Актогайскому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Ф.И.О.(при его наличии), должность</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