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a31f" w14:textId="ae5a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Малайсаринского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12/19.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Малайсаринского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 от 29 сентября 2014 года № 12/40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Малайсаринского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12/19</w:t>
            </w:r>
          </w:p>
        </w:tc>
      </w:tr>
    </w:tbl>
    <w:bookmarkStart w:name="z7" w:id="5"/>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Малайсаринского сельского округа Майского района Глава 1. Общие положения</w:t>
      </w:r>
    </w:p>
    <w:bookmarkEnd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Малайсаринского сельского округа Майского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Малайсаринского сельского округа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Малайсаринского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8" w:id="6"/>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Малайсаринского сельского округа подразделяется на участки: село Малайсары, отделение № 1, отделение № 2.</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3-х человек от каждого участка.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Малайсаринского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Малайсаринского сельского округа оповещается акимом Малайсаринского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Малайсаринского 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Малайсаринского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Малайсаринского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Малайсаринского сельского округа в течение 3 рабочих дней.</w:t>
      </w:r>
    </w:p>
    <w:bookmarkStart w:name="z9" w:id="7"/>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Малайсаринского сельского округа</w:t>
      </w:r>
    </w:p>
    <w:bookmarkEnd w:id="7"/>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Малайсаринского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Малайсары–3человек;</w:t>
      </w:r>
    </w:p>
    <w:p>
      <w:pPr>
        <w:spacing w:after="0"/>
        <w:ind w:left="0"/>
        <w:jc w:val="both"/>
      </w:pPr>
      <w:r>
        <w:rPr>
          <w:rFonts w:ascii="Times New Roman"/>
          <w:b w:val="false"/>
          <w:i w:val="false"/>
          <w:color w:val="000000"/>
          <w:sz w:val="28"/>
        </w:rPr>
        <w:t>
      для фермы № 1 – 1 человека;</w:t>
      </w:r>
    </w:p>
    <w:p>
      <w:pPr>
        <w:spacing w:after="0"/>
        <w:ind w:left="0"/>
        <w:jc w:val="both"/>
      </w:pPr>
      <w:r>
        <w:rPr>
          <w:rFonts w:ascii="Times New Roman"/>
          <w:b w:val="false"/>
          <w:i w:val="false"/>
          <w:color w:val="000000"/>
          <w:sz w:val="28"/>
        </w:rPr>
        <w:t>
      для фермы № 2 – 2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