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384b" w14:textId="1663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Тайынша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Тайынша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204156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- 28691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74392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246656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-42500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42500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13.11.2023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Тайынша Тайыншинского района формируются в соответствии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индивидуальный подоходный налог по доходам, подлежащим обложению самостоятельно физическими лицами, у которых на территории города районного значения расположено заявленное при постановке на регистрационный учет в органе государственных доходов: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Тайынша формируются за счет следующих поступлений от продажи основного капитала: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Тайынша на 2023 год поступление целевых текущих трансфертов из районного бюджета в бюджет города Тайынша в сумме 5000 тысяч тенге.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города Тайынша на 2023 год расходы за счет свободных остатков бюджетных средств, сложившихся на начало финансового года в сумме 42500 тысяч тенге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города Тайынша на 2023 год поступление целевых текущих трансфертов из областного бюджета в бюджет города Тайынша в сумме 66392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283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2023 год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№ 84 (вводится в действие с 01.01.2023).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283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283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2022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свободных остатков бюджетных средств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