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b698" w14:textId="013b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природных ресурсов и регулирования природопользования Туркестанской области"</w:t>
      </w:r>
    </w:p>
    <w:p>
      <w:pPr>
        <w:spacing w:after="0"/>
        <w:ind w:left="0"/>
        <w:jc w:val="both"/>
      </w:pPr>
      <w:r>
        <w:rPr>
          <w:rFonts w:ascii="Times New Roman"/>
          <w:b w:val="false"/>
          <w:i w:val="false"/>
          <w:color w:val="000000"/>
          <w:sz w:val="28"/>
        </w:rPr>
        <w:t>Постановление акимата Туркестанской области от 13 июня 2022 года № 127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Туркестанской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природных ресурсов и регулирования природопользования Туркестанской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природных ресурсов и регулирования природопользования Туркестанской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вышеуказанного Положения в органах юстиции в установленном законодательством порядке;</w:t>
      </w:r>
    </w:p>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Туркестанской области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Тажибаева У.К.</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Жетпісбай А.Ш.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Тургумбеков А.Е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Калкаманов С.А.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Сабитов 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Тажибаев 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Кайыпбек К.А.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Тасыбаев А.Б.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Туркестанской области</w:t>
            </w:r>
            <w:r>
              <w:br/>
            </w:r>
            <w:r>
              <w:rPr>
                <w:rFonts w:ascii="Times New Roman"/>
                <w:b w:val="false"/>
                <w:i w:val="false"/>
                <w:color w:val="000000"/>
                <w:sz w:val="20"/>
              </w:rPr>
              <w:t>от 13 июня 2022 года № 127</w:t>
            </w:r>
          </w:p>
        </w:tc>
      </w:tr>
    </w:tbl>
    <w:bookmarkStart w:name="z7" w:id="5"/>
    <w:p>
      <w:pPr>
        <w:spacing w:after="0"/>
        <w:ind w:left="0"/>
        <w:jc w:val="left"/>
      </w:pPr>
      <w:r>
        <w:rPr>
          <w:rFonts w:ascii="Times New Roman"/>
          <w:b/>
          <w:i w:val="false"/>
          <w:color w:val="000000"/>
        </w:rPr>
        <w:t xml:space="preserve"> Положение о государственном учреждении "Управление природных ресурсов и регулирования природопользования Туркестанской области"</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"Управление природных ресурсов и регулирования природопользования Туркестанской области" (далее – Управления) является государственным органом Республики Казахстан, осуществляющим руководство в сферах государственного управления природными ресурсами и регулирования природопользования, а также выполнения мероприятий в сфере охраны окружающей среды, регулирования и природопользования на территории Туркестанской области.</w:t>
      </w:r>
    </w:p>
    <w:bookmarkEnd w:id="7"/>
    <w:bookmarkStart w:name="z10" w:id="8"/>
    <w:p>
      <w:pPr>
        <w:spacing w:after="0"/>
        <w:ind w:left="0"/>
        <w:jc w:val="both"/>
      </w:pPr>
      <w:r>
        <w:rPr>
          <w:rFonts w:ascii="Times New Roman"/>
          <w:b w:val="false"/>
          <w:i w:val="false"/>
          <w:color w:val="000000"/>
          <w:sz w:val="28"/>
        </w:rPr>
        <w:t>
      2. Управление ведомств не имеет.</w:t>
      </w:r>
    </w:p>
    <w:bookmarkEnd w:id="8"/>
    <w:bookmarkStart w:name="z11" w:id="9"/>
    <w:p>
      <w:pPr>
        <w:spacing w:after="0"/>
        <w:ind w:left="0"/>
        <w:jc w:val="both"/>
      </w:pPr>
      <w:r>
        <w:rPr>
          <w:rFonts w:ascii="Times New Roman"/>
          <w:b w:val="false"/>
          <w:i w:val="false"/>
          <w:color w:val="000000"/>
          <w:sz w:val="28"/>
        </w:rPr>
        <w:t xml:space="preserve">
      3.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Управление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Управление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xml:space="preserve">
      7.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 </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Управления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Управления: Республика Казахстан, Туркестанская область, город Туркестан, микрорайон Жаңа қала, улица 32, здание 20, почтовый индекс 160023.</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Управления. </w:t>
      </w:r>
    </w:p>
    <w:bookmarkEnd w:id="16"/>
    <w:bookmarkStart w:name="z19" w:id="17"/>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Управления.</w:t>
      </w:r>
    </w:p>
    <w:bookmarkEnd w:id="18"/>
    <w:p>
      <w:pPr>
        <w:spacing w:after="0"/>
        <w:ind w:left="0"/>
        <w:jc w:val="both"/>
      </w:pPr>
      <w:r>
        <w:rPr>
          <w:rFonts w:ascii="Times New Roman"/>
          <w:b w:val="false"/>
          <w:i w:val="false"/>
          <w:color w:val="000000"/>
          <w:sz w:val="28"/>
        </w:rPr>
        <w:t>
      Если Управление законодательными актами предоставлено право осуществлять приносящую доходы деятельность, то полученные доходы направляется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Глава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xml:space="preserve">
      13. Задачи: </w:t>
      </w:r>
    </w:p>
    <w:bookmarkEnd w:id="20"/>
    <w:p>
      <w:pPr>
        <w:spacing w:after="0"/>
        <w:ind w:left="0"/>
        <w:jc w:val="both"/>
      </w:pPr>
      <w:r>
        <w:rPr>
          <w:rFonts w:ascii="Times New Roman"/>
          <w:b w:val="false"/>
          <w:i w:val="false"/>
          <w:color w:val="000000"/>
          <w:sz w:val="28"/>
        </w:rPr>
        <w:t>
      реализация государственной политики в области охраны окружающей среды, охраны, воспроизводства и сбалансированного использования ресурсов вод, лесов, особо охраняемых природных территорий и животного мира, экологическое регулирование.</w:t>
      </w:r>
    </w:p>
    <w:bookmarkStart w:name="z23" w:id="21"/>
    <w:p>
      <w:pPr>
        <w:spacing w:after="0"/>
        <w:ind w:left="0"/>
        <w:jc w:val="both"/>
      </w:pPr>
      <w:r>
        <w:rPr>
          <w:rFonts w:ascii="Times New Roman"/>
          <w:b w:val="false"/>
          <w:i w:val="false"/>
          <w:color w:val="000000"/>
          <w:sz w:val="28"/>
        </w:rPr>
        <w:t>
      14. Полномочия:</w:t>
      </w:r>
    </w:p>
    <w:bookmarkEnd w:id="21"/>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осуществление функций органа государственного управления и уполномоченного органа в отношении государственных учреждений, коммунального государственного учреждения, находящихся в ведении Управления;</w:t>
      </w:r>
    </w:p>
    <w:p>
      <w:pPr>
        <w:spacing w:after="0"/>
        <w:ind w:left="0"/>
        <w:jc w:val="both"/>
      </w:pPr>
      <w:r>
        <w:rPr>
          <w:rFonts w:ascii="Times New Roman"/>
          <w:b w:val="false"/>
          <w:i w:val="false"/>
          <w:color w:val="000000"/>
          <w:sz w:val="28"/>
        </w:rPr>
        <w:t>
      разработка уставов государственного учреждения, коммунального государственного учреждения, находящегося в ведении управления,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осуществление полномочий администратора бюджетных программ, организатора и заказчика по государственным закупкам товаров (работ, услуг) из средств областного бюджета, заключение договоров и контролирование их исполнения;</w:t>
      </w:r>
    </w:p>
    <w:p>
      <w:pPr>
        <w:spacing w:after="0"/>
        <w:ind w:left="0"/>
        <w:jc w:val="both"/>
      </w:pPr>
      <w:r>
        <w:rPr>
          <w:rFonts w:ascii="Times New Roman"/>
          <w:b w:val="false"/>
          <w:i w:val="false"/>
          <w:color w:val="000000"/>
          <w:sz w:val="28"/>
        </w:rPr>
        <w:t>
      осуществление в пределах своих полномочий проверки всех видов работ и мероприятий в рамках заключенных договоров по областным бюджетным программам в области охраны окружающей среды, водного фонда, охраны, защиты, воспроизводства лесов, пользования лесами и животным миром;</w:t>
      </w:r>
    </w:p>
    <w:p>
      <w:pPr>
        <w:spacing w:after="0"/>
        <w:ind w:left="0"/>
        <w:jc w:val="both"/>
      </w:pPr>
      <w:r>
        <w:rPr>
          <w:rFonts w:ascii="Times New Roman"/>
          <w:b w:val="false"/>
          <w:i w:val="false"/>
          <w:color w:val="000000"/>
          <w:sz w:val="28"/>
        </w:rPr>
        <w:t>
      запрашивание и получение от государственных органов, также организаций и физических лиц необходимой информации для осуществления деятельности в пределах своей компетенции;</w:t>
      </w:r>
    </w:p>
    <w:p>
      <w:pPr>
        <w:spacing w:after="0"/>
        <w:ind w:left="0"/>
        <w:jc w:val="both"/>
      </w:pPr>
      <w:r>
        <w:rPr>
          <w:rFonts w:ascii="Times New Roman"/>
          <w:b w:val="false"/>
          <w:i w:val="false"/>
          <w:color w:val="000000"/>
          <w:sz w:val="28"/>
        </w:rPr>
        <w:t>
      осуществление внутреннего контроля за деятельностью государственных учреждений, коммунального государственного учреждения, находящихся в ведении Управления;</w:t>
      </w:r>
    </w:p>
    <w:p>
      <w:pPr>
        <w:spacing w:after="0"/>
        <w:ind w:left="0"/>
        <w:jc w:val="both"/>
      </w:pPr>
      <w:r>
        <w:rPr>
          <w:rFonts w:ascii="Times New Roman"/>
          <w:b w:val="false"/>
          <w:i w:val="false"/>
          <w:color w:val="000000"/>
          <w:sz w:val="28"/>
        </w:rPr>
        <w:t>
      в пределах своей компетенции требование от физических и юридических лиц соблюдения установленных правил, норм и ограничений на пользование природными ресурсами;</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организация охраны, защита, воспроизводства лесов и лесоразведения и обеспечение лесопользования на территории государственного лесного фонда и особо охраняемых природных территорий, находящихся в ведении Управления;</w:t>
      </w:r>
    </w:p>
    <w:p>
      <w:pPr>
        <w:spacing w:after="0"/>
        <w:ind w:left="0"/>
        <w:jc w:val="both"/>
      </w:pPr>
      <w:r>
        <w:rPr>
          <w:rFonts w:ascii="Times New Roman"/>
          <w:b w:val="false"/>
          <w:i w:val="false"/>
          <w:color w:val="000000"/>
          <w:sz w:val="28"/>
        </w:rPr>
        <w:t>
      реализация государственной политики в области охраны, использования и воспроизводства животного мира;</w:t>
      </w:r>
    </w:p>
    <w:p>
      <w:pPr>
        <w:spacing w:after="0"/>
        <w:ind w:left="0"/>
        <w:jc w:val="both"/>
      </w:pPr>
      <w:r>
        <w:rPr>
          <w:rFonts w:ascii="Times New Roman"/>
          <w:b w:val="false"/>
          <w:i w:val="false"/>
          <w:color w:val="000000"/>
          <w:sz w:val="28"/>
        </w:rPr>
        <w:t>
      реализация государственной политики в области охраны окружающей среды и регулирование природопользования;</w:t>
      </w:r>
    </w:p>
    <w:p>
      <w:pPr>
        <w:spacing w:after="0"/>
        <w:ind w:left="0"/>
        <w:jc w:val="both"/>
      </w:pPr>
      <w:r>
        <w:rPr>
          <w:rFonts w:ascii="Times New Roman"/>
          <w:b w:val="false"/>
          <w:i w:val="false"/>
          <w:color w:val="000000"/>
          <w:sz w:val="28"/>
        </w:rPr>
        <w:t>
      координация по обеспечению строительства объектов полигона для размещения и утилизации отходов в рамках областной бюджетной программы;</w:t>
      </w:r>
    </w:p>
    <w:bookmarkStart w:name="z24" w:id="22"/>
    <w:p>
      <w:pPr>
        <w:spacing w:after="0"/>
        <w:ind w:left="0"/>
        <w:jc w:val="both"/>
      </w:pPr>
      <w:r>
        <w:rPr>
          <w:rFonts w:ascii="Times New Roman"/>
          <w:b w:val="false"/>
          <w:i w:val="false"/>
          <w:color w:val="000000"/>
          <w:sz w:val="28"/>
        </w:rPr>
        <w:t>
      15. Функции:</w:t>
      </w:r>
    </w:p>
    <w:bookmarkEnd w:id="22"/>
    <w:p>
      <w:pPr>
        <w:spacing w:after="0"/>
        <w:ind w:left="0"/>
        <w:jc w:val="both"/>
      </w:pPr>
      <w:r>
        <w:rPr>
          <w:rFonts w:ascii="Times New Roman"/>
          <w:b w:val="false"/>
          <w:i w:val="false"/>
          <w:color w:val="000000"/>
          <w:sz w:val="28"/>
        </w:rPr>
        <w:t>
      1) реализация государственной политики в области особо охраняемых природных территорий;</w:t>
      </w:r>
    </w:p>
    <w:p>
      <w:pPr>
        <w:spacing w:after="0"/>
        <w:ind w:left="0"/>
        <w:jc w:val="both"/>
      </w:pPr>
      <w:r>
        <w:rPr>
          <w:rFonts w:ascii="Times New Roman"/>
          <w:b w:val="false"/>
          <w:i w:val="false"/>
          <w:color w:val="000000"/>
          <w:sz w:val="28"/>
        </w:rPr>
        <w:t>
      2) внесение в уполномоченный орган предложения по перечню объектов государственного природно-заповедного фонда республиканского значения, развитию системы особо охраняемых природных территорий и экологических сетей, созданию и расширению особо охраняемых природных территорий республиканского и местного значения;</w:t>
      </w:r>
    </w:p>
    <w:p>
      <w:pPr>
        <w:spacing w:after="0"/>
        <w:ind w:left="0"/>
        <w:jc w:val="both"/>
      </w:pPr>
      <w:r>
        <w:rPr>
          <w:rFonts w:ascii="Times New Roman"/>
          <w:b w:val="false"/>
          <w:i w:val="false"/>
          <w:color w:val="000000"/>
          <w:sz w:val="28"/>
        </w:rPr>
        <w:t>
      3) организация разработки и обеспечение проведение государственной экологической экспертизы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4) внесение предложений в акимат области об утверждении перечня объектов государственного природно-заповедного фонда местного значения, естественно-научные и технико-экономические обоснования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5) внесение предложений в акимат области по созданию и расширению особо охраняемых природных территорий местного значения по согласованию с уполномоченным органом;</w:t>
      </w:r>
    </w:p>
    <w:p>
      <w:pPr>
        <w:spacing w:after="0"/>
        <w:ind w:left="0"/>
        <w:jc w:val="both"/>
      </w:pPr>
      <w:r>
        <w:rPr>
          <w:rFonts w:ascii="Times New Roman"/>
          <w:b w:val="false"/>
          <w:i w:val="false"/>
          <w:color w:val="000000"/>
          <w:sz w:val="28"/>
        </w:rPr>
        <w:t>
      6) внесение предложения в акимат области по утверждению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p>
    <w:p>
      <w:pPr>
        <w:spacing w:after="0"/>
        <w:ind w:left="0"/>
        <w:jc w:val="both"/>
      </w:pPr>
      <w:r>
        <w:rPr>
          <w:rFonts w:ascii="Times New Roman"/>
          <w:b w:val="false"/>
          <w:i w:val="false"/>
          <w:color w:val="000000"/>
          <w:sz w:val="28"/>
        </w:rPr>
        <w:t>
      7) разработка и утверждение планов управления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8) внесение предложения в акимат области по утверждению размеров тарифов за услуги, предоставляемые особо охраняемыми природными территориями местного значения со статусом юридического лица;</w:t>
      </w:r>
    </w:p>
    <w:p>
      <w:pPr>
        <w:spacing w:after="0"/>
        <w:ind w:left="0"/>
        <w:jc w:val="both"/>
      </w:pPr>
      <w:r>
        <w:rPr>
          <w:rFonts w:ascii="Times New Roman"/>
          <w:b w:val="false"/>
          <w:i w:val="false"/>
          <w:color w:val="000000"/>
          <w:sz w:val="28"/>
        </w:rPr>
        <w:t>
      9) участие в ведении государственного кадастра особо охраняемых природных территорий;</w:t>
      </w:r>
    </w:p>
    <w:p>
      <w:pPr>
        <w:spacing w:after="0"/>
        <w:ind w:left="0"/>
        <w:jc w:val="both"/>
      </w:pPr>
      <w:r>
        <w:rPr>
          <w:rFonts w:ascii="Times New Roman"/>
          <w:b w:val="false"/>
          <w:i w:val="false"/>
          <w:color w:val="000000"/>
          <w:sz w:val="28"/>
        </w:rPr>
        <w:t>
      10) разработка и утверждение по согласованию с уполномоченным органом паспорта особо охраняемых природных территорий, находящихся в их ведении, и представляют паспорта на регистрацию (перерегистрацию) в уполномоченный орган;</w:t>
      </w:r>
    </w:p>
    <w:p>
      <w:pPr>
        <w:spacing w:after="0"/>
        <w:ind w:left="0"/>
        <w:jc w:val="both"/>
      </w:pPr>
      <w:r>
        <w:rPr>
          <w:rFonts w:ascii="Times New Roman"/>
          <w:b w:val="false"/>
          <w:i w:val="false"/>
          <w:color w:val="000000"/>
          <w:sz w:val="28"/>
        </w:rPr>
        <w:t>
      11) внесение предложения в акимат области по резервированию земель для создания особо охраняемых природных территорий всех видов;</w:t>
      </w:r>
    </w:p>
    <w:p>
      <w:pPr>
        <w:spacing w:after="0"/>
        <w:ind w:left="0"/>
        <w:jc w:val="both"/>
      </w:pPr>
      <w:r>
        <w:rPr>
          <w:rFonts w:ascii="Times New Roman"/>
          <w:b w:val="false"/>
          <w:i w:val="false"/>
          <w:color w:val="000000"/>
          <w:sz w:val="28"/>
        </w:rPr>
        <w:t>
      12) внесение предложения в акимат области по установлению охранных зон особо охраняемых природных территорий всех видов с ограничением в пределах этих зон деятельности, отрицательно влияющей на состояние экологических систем этих территорий, экологических коридоров, а также режима их охраны и использования;</w:t>
      </w:r>
    </w:p>
    <w:p>
      <w:pPr>
        <w:spacing w:after="0"/>
        <w:ind w:left="0"/>
        <w:jc w:val="both"/>
      </w:pPr>
      <w:r>
        <w:rPr>
          <w:rFonts w:ascii="Times New Roman"/>
          <w:b w:val="false"/>
          <w:i w:val="false"/>
          <w:color w:val="000000"/>
          <w:sz w:val="28"/>
        </w:rPr>
        <w:t>
      13) осуществление государственного контроля и надзора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их ведении;</w:t>
      </w:r>
    </w:p>
    <w:p>
      <w:pPr>
        <w:spacing w:after="0"/>
        <w:ind w:left="0"/>
        <w:jc w:val="both"/>
      </w:pPr>
      <w:r>
        <w:rPr>
          <w:rFonts w:ascii="Times New Roman"/>
          <w:b w:val="false"/>
          <w:i w:val="false"/>
          <w:color w:val="000000"/>
          <w:sz w:val="28"/>
        </w:rPr>
        <w:t>
      14) внесение предложения в акимат области по утверждению границам и вид режима охраны территории государственных памятников природы местного значения;</w:t>
      </w:r>
    </w:p>
    <w:p>
      <w:pPr>
        <w:spacing w:after="0"/>
        <w:ind w:left="0"/>
        <w:jc w:val="both"/>
      </w:pPr>
      <w:r>
        <w:rPr>
          <w:rFonts w:ascii="Times New Roman"/>
          <w:b w:val="false"/>
          <w:i w:val="false"/>
          <w:color w:val="000000"/>
          <w:sz w:val="28"/>
        </w:rPr>
        <w:t>
      15) представление на утверждение в областной маслихат ставки платы за использование особо охраняемых природных территорий местного значения;</w:t>
      </w:r>
    </w:p>
    <w:p>
      <w:pPr>
        <w:spacing w:after="0"/>
        <w:ind w:left="0"/>
        <w:jc w:val="both"/>
      </w:pPr>
      <w:r>
        <w:rPr>
          <w:rFonts w:ascii="Times New Roman"/>
          <w:b w:val="false"/>
          <w:i w:val="false"/>
          <w:color w:val="000000"/>
          <w:sz w:val="28"/>
        </w:rPr>
        <w:t>
      16) внесение предложения в акимат области по утверждению государственного природного заказника местного значения и уменьшение их территории;</w:t>
      </w:r>
    </w:p>
    <w:p>
      <w:pPr>
        <w:spacing w:after="0"/>
        <w:ind w:left="0"/>
        <w:jc w:val="both"/>
      </w:pPr>
      <w:r>
        <w:rPr>
          <w:rFonts w:ascii="Times New Roman"/>
          <w:b w:val="false"/>
          <w:i w:val="false"/>
          <w:color w:val="000000"/>
          <w:sz w:val="28"/>
        </w:rPr>
        <w:t>
      17) осуществление пользования земельными участками, расположенными на территории государственных природных заказников республиканского значения, с соблюдением установленного режима;</w:t>
      </w:r>
    </w:p>
    <w:p>
      <w:pPr>
        <w:spacing w:after="0"/>
        <w:ind w:left="0"/>
        <w:jc w:val="both"/>
      </w:pPr>
      <w:r>
        <w:rPr>
          <w:rFonts w:ascii="Times New Roman"/>
          <w:b w:val="false"/>
          <w:i w:val="false"/>
          <w:color w:val="000000"/>
          <w:sz w:val="28"/>
        </w:rPr>
        <w:t>
      18) осуществление перевода земель запаса обратно в земли особо охраняемых природных территорий по предложению ведомства уполномоченного органа;</w:t>
      </w:r>
    </w:p>
    <w:p>
      <w:pPr>
        <w:spacing w:after="0"/>
        <w:ind w:left="0"/>
        <w:jc w:val="both"/>
      </w:pPr>
      <w:r>
        <w:rPr>
          <w:rFonts w:ascii="Times New Roman"/>
          <w:b w:val="false"/>
          <w:i w:val="false"/>
          <w:color w:val="000000"/>
          <w:sz w:val="28"/>
        </w:rPr>
        <w:t>
      19) участие в выработке предложений по формированию государственной лесной политики и ее реализации;</w:t>
      </w:r>
    </w:p>
    <w:p>
      <w:pPr>
        <w:spacing w:after="0"/>
        <w:ind w:left="0"/>
        <w:jc w:val="both"/>
      </w:pPr>
      <w:r>
        <w:rPr>
          <w:rFonts w:ascii="Times New Roman"/>
          <w:b w:val="false"/>
          <w:i w:val="false"/>
          <w:color w:val="000000"/>
          <w:sz w:val="28"/>
        </w:rPr>
        <w:t>
      20) организация и обеспечение охрана, защиты, воспроизводства лесов и лесоразведение, регулирование лесопользование на территории государственного лесного фонда, находящегося в их функциональном ведении;</w:t>
      </w:r>
    </w:p>
    <w:p>
      <w:pPr>
        <w:spacing w:after="0"/>
        <w:ind w:left="0"/>
        <w:jc w:val="both"/>
      </w:pPr>
      <w:r>
        <w:rPr>
          <w:rFonts w:ascii="Times New Roman"/>
          <w:b w:val="false"/>
          <w:i w:val="false"/>
          <w:color w:val="000000"/>
          <w:sz w:val="28"/>
        </w:rPr>
        <w:t>
      21) разработка, утверждение и реализация выполнение ежегодных планов мероприятий по профилактике лесных пожаров и борьбе с ними на территории государственного лесного фонда;</w:t>
      </w:r>
    </w:p>
    <w:p>
      <w:pPr>
        <w:spacing w:after="0"/>
        <w:ind w:left="0"/>
        <w:jc w:val="both"/>
      </w:pPr>
      <w:r>
        <w:rPr>
          <w:rFonts w:ascii="Times New Roman"/>
          <w:b w:val="false"/>
          <w:i w:val="false"/>
          <w:color w:val="000000"/>
          <w:sz w:val="28"/>
        </w:rPr>
        <w:t>
      22) определение порядка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обеспечивают привлекаемых к этой работе физических лиц средствами передвижения, пожаротушения, питанием и медицинской помощью;</w:t>
      </w:r>
    </w:p>
    <w:p>
      <w:pPr>
        <w:spacing w:after="0"/>
        <w:ind w:left="0"/>
        <w:jc w:val="both"/>
      </w:pPr>
      <w:r>
        <w:rPr>
          <w:rFonts w:ascii="Times New Roman"/>
          <w:b w:val="false"/>
          <w:i w:val="false"/>
          <w:color w:val="000000"/>
          <w:sz w:val="28"/>
        </w:rPr>
        <w:t>
      23) оказование содействие функционированию добровольных противопожарных формирований в соответствии с законодательством Республики Казахстан;</w:t>
      </w:r>
    </w:p>
    <w:p>
      <w:pPr>
        <w:spacing w:after="0"/>
        <w:ind w:left="0"/>
        <w:jc w:val="both"/>
      </w:pPr>
      <w:r>
        <w:rPr>
          <w:rFonts w:ascii="Times New Roman"/>
          <w:b w:val="false"/>
          <w:i w:val="false"/>
          <w:color w:val="000000"/>
          <w:sz w:val="28"/>
        </w:rPr>
        <w:t>
      24) создание резервов горюче-смазочных материалов на пожароопасный сезон в лесу для тушения пожаров на территории государственного лесного фонда;</w:t>
      </w:r>
    </w:p>
    <w:p>
      <w:pPr>
        <w:spacing w:after="0"/>
        <w:ind w:left="0"/>
        <w:jc w:val="both"/>
      </w:pPr>
      <w:r>
        <w:rPr>
          <w:rFonts w:ascii="Times New Roman"/>
          <w:b w:val="false"/>
          <w:i w:val="false"/>
          <w:color w:val="000000"/>
          <w:sz w:val="28"/>
        </w:rPr>
        <w:t>
      25) обеспечение контроля за проведением крестьянскими и фермерскими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p>
    <w:p>
      <w:pPr>
        <w:spacing w:after="0"/>
        <w:ind w:left="0"/>
        <w:jc w:val="both"/>
      </w:pPr>
      <w:r>
        <w:rPr>
          <w:rFonts w:ascii="Times New Roman"/>
          <w:b w:val="false"/>
          <w:i w:val="false"/>
          <w:color w:val="000000"/>
          <w:sz w:val="28"/>
        </w:rPr>
        <w:t>
      26) организация противопожарной пропаганды, регулярное освещение в средствах массовой информации вопросов о сбережении лесов, выполнении правил пожарной безопасности в лесах;</w:t>
      </w:r>
    </w:p>
    <w:p>
      <w:pPr>
        <w:spacing w:after="0"/>
        <w:ind w:left="0"/>
        <w:jc w:val="both"/>
      </w:pPr>
      <w:r>
        <w:rPr>
          <w:rFonts w:ascii="Times New Roman"/>
          <w:b w:val="false"/>
          <w:i w:val="false"/>
          <w:color w:val="000000"/>
          <w:sz w:val="28"/>
        </w:rPr>
        <w:t>
      27) координация работы по борьбе с лесными пожарами на территории области с созданием в необходимых случаях для этой цели специальных комиссий;</w:t>
      </w:r>
    </w:p>
    <w:p>
      <w:pPr>
        <w:spacing w:after="0"/>
        <w:ind w:left="0"/>
        <w:jc w:val="both"/>
      </w:pPr>
      <w:r>
        <w:rPr>
          <w:rFonts w:ascii="Times New Roman"/>
          <w:b w:val="false"/>
          <w:i w:val="false"/>
          <w:color w:val="000000"/>
          <w:sz w:val="28"/>
        </w:rPr>
        <w:t>
      28) организация на территории лесного фонда работу по борьбе с вредителями и болезнями леса и улучшению его санитарного состояния;</w:t>
      </w:r>
    </w:p>
    <w:p>
      <w:pPr>
        <w:spacing w:after="0"/>
        <w:ind w:left="0"/>
        <w:jc w:val="both"/>
      </w:pPr>
      <w:r>
        <w:rPr>
          <w:rFonts w:ascii="Times New Roman"/>
          <w:b w:val="false"/>
          <w:i w:val="false"/>
          <w:color w:val="000000"/>
          <w:sz w:val="28"/>
        </w:rPr>
        <w:t>
      29) внесение предложения в акимат области о запрещении пребывания физических лиц на территории государственного лесного фонда, об ограничении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w:t>
      </w:r>
    </w:p>
    <w:p>
      <w:pPr>
        <w:spacing w:after="0"/>
        <w:ind w:left="0"/>
        <w:jc w:val="both"/>
      </w:pPr>
      <w:r>
        <w:rPr>
          <w:rFonts w:ascii="Times New Roman"/>
          <w:b w:val="false"/>
          <w:i w:val="false"/>
          <w:color w:val="000000"/>
          <w:sz w:val="28"/>
        </w:rPr>
        <w:t>
      30) подготовка материалов по государственному учету лесного фонда, государственному лесному кадастру, государственному мониторингу лесов, находящихся в их функциональном ведении, для представления их уполномоченному органу;</w:t>
      </w:r>
    </w:p>
    <w:p>
      <w:pPr>
        <w:spacing w:after="0"/>
        <w:ind w:left="0"/>
        <w:jc w:val="both"/>
      </w:pPr>
      <w:r>
        <w:rPr>
          <w:rFonts w:ascii="Times New Roman"/>
          <w:b w:val="false"/>
          <w:i w:val="false"/>
          <w:color w:val="000000"/>
          <w:sz w:val="28"/>
        </w:rPr>
        <w:t>
      31) принятие законченных объектов и готовую продукцию, произведенную в результате проведения лесохозяйственных мероприятий на участках государственного лесного фонда, находящихся в их функциональном ведении;</w:t>
      </w:r>
    </w:p>
    <w:p>
      <w:pPr>
        <w:spacing w:after="0"/>
        <w:ind w:left="0"/>
        <w:jc w:val="both"/>
      </w:pPr>
      <w:r>
        <w:rPr>
          <w:rFonts w:ascii="Times New Roman"/>
          <w:b w:val="false"/>
          <w:i w:val="false"/>
          <w:color w:val="000000"/>
          <w:sz w:val="28"/>
        </w:rPr>
        <w:t>
      32) разработка проектов ставок платы за лесные пользования на участках государственного лесного фонда (за исключением ставок за древесину, отпускаемую на корню);</w:t>
      </w:r>
    </w:p>
    <w:p>
      <w:pPr>
        <w:spacing w:after="0"/>
        <w:ind w:left="0"/>
        <w:jc w:val="both"/>
      </w:pPr>
      <w:r>
        <w:rPr>
          <w:rFonts w:ascii="Times New Roman"/>
          <w:b w:val="false"/>
          <w:i w:val="false"/>
          <w:color w:val="000000"/>
          <w:sz w:val="28"/>
        </w:rPr>
        <w:t>
      33) организация и проведение тендеров по предоставлению лесных ресурсов в долгосрочное лесопользование на участках государственного лесного фонда, находящихся в их функциональном ведении, с участием уполномоченного органа и местного представительного органа области;</w:t>
      </w:r>
    </w:p>
    <w:p>
      <w:pPr>
        <w:spacing w:after="0"/>
        <w:ind w:left="0"/>
        <w:jc w:val="both"/>
      </w:pPr>
      <w:r>
        <w:rPr>
          <w:rFonts w:ascii="Times New Roman"/>
          <w:b w:val="false"/>
          <w:i w:val="false"/>
          <w:color w:val="000000"/>
          <w:sz w:val="28"/>
        </w:rPr>
        <w:t>
      34) предоставление лесопользователям участков под объекты строительства на землях государственного лесного фонда, находящихся в их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p>
      <w:pPr>
        <w:spacing w:after="0"/>
        <w:ind w:left="0"/>
        <w:jc w:val="both"/>
      </w:pPr>
      <w:r>
        <w:rPr>
          <w:rFonts w:ascii="Times New Roman"/>
          <w:b w:val="false"/>
          <w:i w:val="false"/>
          <w:color w:val="000000"/>
          <w:sz w:val="28"/>
        </w:rPr>
        <w:t>
      35) утверждение символики (эмблему и флаг) лесного учреждения, находящегося в их ведомственном подчинении;</w:t>
      </w:r>
    </w:p>
    <w:p>
      <w:pPr>
        <w:spacing w:after="0"/>
        <w:ind w:left="0"/>
        <w:jc w:val="both"/>
      </w:pPr>
      <w:r>
        <w:rPr>
          <w:rFonts w:ascii="Times New Roman"/>
          <w:b w:val="false"/>
          <w:i w:val="false"/>
          <w:color w:val="000000"/>
          <w:sz w:val="28"/>
        </w:rPr>
        <w:t>
      36) осуществление перевода земель других категорий в земли лесного фонда в порядке, определенном уполномоченным органом;</w:t>
      </w:r>
    </w:p>
    <w:p>
      <w:pPr>
        <w:spacing w:after="0"/>
        <w:ind w:left="0"/>
        <w:jc w:val="both"/>
      </w:pPr>
      <w:r>
        <w:rPr>
          <w:rFonts w:ascii="Times New Roman"/>
          <w:b w:val="false"/>
          <w:i w:val="false"/>
          <w:color w:val="000000"/>
          <w:sz w:val="28"/>
        </w:rPr>
        <w:t>
      37) реализация государственной политики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37-1) разрабатывают и реализуют планы мероприятий в области охраны, защиты, восстановления и использования растительного мира;</w:t>
      </w:r>
    </w:p>
    <w:p>
      <w:pPr>
        <w:spacing w:after="0"/>
        <w:ind w:left="0"/>
        <w:jc w:val="both"/>
      </w:pPr>
      <w:r>
        <w:rPr>
          <w:rFonts w:ascii="Times New Roman"/>
          <w:b w:val="false"/>
          <w:i w:val="false"/>
          <w:color w:val="000000"/>
          <w:sz w:val="28"/>
        </w:rPr>
        <w:t>
      38) осуществление координаций и контроля и надзора за деятельностью подведомственных им органов и организаций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38-1) организуют деятельность в области охраны, защиты, восстановления и использования растительного мира;</w:t>
      </w:r>
    </w:p>
    <w:p>
      <w:pPr>
        <w:spacing w:after="0"/>
        <w:ind w:left="0"/>
        <w:jc w:val="both"/>
      </w:pPr>
      <w:r>
        <w:rPr>
          <w:rFonts w:ascii="Times New Roman"/>
          <w:b w:val="false"/>
          <w:i w:val="false"/>
          <w:color w:val="000000"/>
          <w:sz w:val="28"/>
        </w:rPr>
        <w:t>
      39) внесение предложений в акимат области по утверждению рыбохозяйственных водоемов местного значения;</w:t>
      </w:r>
    </w:p>
    <w:p>
      <w:pPr>
        <w:spacing w:after="0"/>
        <w:ind w:left="0"/>
        <w:jc w:val="both"/>
      </w:pPr>
      <w:r>
        <w:rPr>
          <w:rFonts w:ascii="Times New Roman"/>
          <w:b w:val="false"/>
          <w:i w:val="false"/>
          <w:color w:val="000000"/>
          <w:sz w:val="28"/>
        </w:rPr>
        <w:t>
      39-1) обеспечивают содержание зеленых насаждений, расположенных на землях общего пользования населенных пунктов;</w:t>
      </w:r>
    </w:p>
    <w:p>
      <w:pPr>
        <w:spacing w:after="0"/>
        <w:ind w:left="0"/>
        <w:jc w:val="both"/>
      </w:pPr>
      <w:r>
        <w:rPr>
          <w:rFonts w:ascii="Times New Roman"/>
          <w:b w:val="false"/>
          <w:i w:val="false"/>
          <w:color w:val="000000"/>
          <w:sz w:val="28"/>
        </w:rPr>
        <w:t>
      40) внесение предложений в акимат области по утверждению перечня рыбохозяйственных водоемов и (или) участков местного значения в разрезе водоемов и (или) участков для ведения промыслового рыболовства, любительского (спортивного) рыболовства, озерно-товарного рыбоводного хозяйства, садкового рыбоводного хозяйства в соответствии с критериями отнесения рыбохозяйственных водоемов и (или) их участков к водоемам и (или) участкам для ведения промыслового рыболовства, любительского (спортивного) рыболовства, озерно-товарного рыбоводного хозяйства, садкового рыбоводного хозяйства;</w:t>
      </w:r>
    </w:p>
    <w:p>
      <w:pPr>
        <w:spacing w:after="0"/>
        <w:ind w:left="0"/>
        <w:jc w:val="both"/>
      </w:pPr>
      <w:r>
        <w:rPr>
          <w:rFonts w:ascii="Times New Roman"/>
          <w:b w:val="false"/>
          <w:i w:val="false"/>
          <w:color w:val="000000"/>
          <w:sz w:val="28"/>
        </w:rPr>
        <w:t>
      40-1) разрабатывают ставки платы за пользование растительными ресурсами в порядке специального пользования растительным миром, за исключением ставок за древесину, отпускаемую на корню на участках государственного лесного фонда;</w:t>
      </w:r>
    </w:p>
    <w:p>
      <w:pPr>
        <w:spacing w:after="0"/>
        <w:ind w:left="0"/>
        <w:jc w:val="both"/>
      </w:pPr>
      <w:r>
        <w:rPr>
          <w:rFonts w:ascii="Times New Roman"/>
          <w:b w:val="false"/>
          <w:i w:val="false"/>
          <w:color w:val="000000"/>
          <w:sz w:val="28"/>
        </w:rPr>
        <w:t>
      41) внесение предложений в акимат области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41-1) принимают решения об установлении ограничения (приостановление) права пользования дикорастущими растениями в соответствии с законодательством Республики Казахстан;</w:t>
      </w:r>
    </w:p>
    <w:p>
      <w:pPr>
        <w:spacing w:after="0"/>
        <w:ind w:left="0"/>
        <w:jc w:val="both"/>
      </w:pPr>
      <w:r>
        <w:rPr>
          <w:rFonts w:ascii="Times New Roman"/>
          <w:b w:val="false"/>
          <w:i w:val="false"/>
          <w:color w:val="000000"/>
          <w:sz w:val="28"/>
        </w:rPr>
        <w:t>
      42) внесение предложений в акимат области по переводу рыбохозяйственных водоемов и (или) участков, закрепленных для ведения промыслового рыболовства, в рыбохозяйственные водоемы и (или) участки для ведения рыбоводства (аквакультуры);</w:t>
      </w:r>
    </w:p>
    <w:p>
      <w:pPr>
        <w:spacing w:after="0"/>
        <w:ind w:left="0"/>
        <w:jc w:val="both"/>
      </w:pPr>
      <w:r>
        <w:rPr>
          <w:rFonts w:ascii="Times New Roman"/>
          <w:b w:val="false"/>
          <w:i w:val="false"/>
          <w:color w:val="000000"/>
          <w:sz w:val="28"/>
        </w:rPr>
        <w:t>
      42-1) обеспечивают доступ физическим и юридическим лицам к информации в области охраны, защиты, восстановления и использования растительного мира;</w:t>
      </w:r>
    </w:p>
    <w:p>
      <w:pPr>
        <w:spacing w:after="0"/>
        <w:ind w:left="0"/>
        <w:jc w:val="both"/>
      </w:pPr>
      <w:r>
        <w:rPr>
          <w:rFonts w:ascii="Times New Roman"/>
          <w:b w:val="false"/>
          <w:i w:val="false"/>
          <w:color w:val="000000"/>
          <w:sz w:val="28"/>
        </w:rPr>
        <w:t>
      43) организация мероприятий по оказанию помощи животным в случае их заболеваний, угрозы их гибели на незакрепленных охотничьих угодьях и рыбохозяйственных водоемах и (или) участках;</w:t>
      </w:r>
    </w:p>
    <w:p>
      <w:pPr>
        <w:spacing w:after="0"/>
        <w:ind w:left="0"/>
        <w:jc w:val="both"/>
      </w:pPr>
      <w:r>
        <w:rPr>
          <w:rFonts w:ascii="Times New Roman"/>
          <w:b w:val="false"/>
          <w:i w:val="false"/>
          <w:color w:val="000000"/>
          <w:sz w:val="28"/>
        </w:rPr>
        <w:t>
      43-1) разработка и подготовка материалов в акимат области для представления на утверждение в областной маслихат Правил создания, содержания и защиты зеленых насаждений;</w:t>
      </w:r>
    </w:p>
    <w:p>
      <w:pPr>
        <w:spacing w:after="0"/>
        <w:ind w:left="0"/>
        <w:jc w:val="both"/>
      </w:pPr>
      <w:r>
        <w:rPr>
          <w:rFonts w:ascii="Times New Roman"/>
          <w:b w:val="false"/>
          <w:i w:val="false"/>
          <w:color w:val="000000"/>
          <w:sz w:val="28"/>
        </w:rPr>
        <w:t>
      44) проведение конкурса по закреплению охотничьих угодий за пользователями животным миром для нужд охотничьего хозяйства;</w:t>
      </w:r>
    </w:p>
    <w:p>
      <w:pPr>
        <w:spacing w:after="0"/>
        <w:ind w:left="0"/>
        <w:jc w:val="both"/>
      </w:pPr>
      <w:r>
        <w:rPr>
          <w:rFonts w:ascii="Times New Roman"/>
          <w:b w:val="false"/>
          <w:i w:val="false"/>
          <w:color w:val="000000"/>
          <w:sz w:val="28"/>
        </w:rPr>
        <w:t>
      45) организация деятельности по интродукции, реинтродукции и гибридизации, а также по искусственному разведению животных, в том числе редких и находящихся под угрозой исчезновения видов животных;</w:t>
      </w:r>
    </w:p>
    <w:p>
      <w:pPr>
        <w:spacing w:after="0"/>
        <w:ind w:left="0"/>
        <w:jc w:val="both"/>
      </w:pPr>
      <w:r>
        <w:rPr>
          <w:rFonts w:ascii="Times New Roman"/>
          <w:b w:val="false"/>
          <w:i w:val="false"/>
          <w:color w:val="000000"/>
          <w:sz w:val="28"/>
        </w:rPr>
        <w:t>
      46) организация и обеспечение охраны животного мира в резервном фонде охотничьих угодий;</w:t>
      </w:r>
    </w:p>
    <w:p>
      <w:pPr>
        <w:spacing w:after="0"/>
        <w:ind w:left="0"/>
        <w:jc w:val="both"/>
      </w:pPr>
      <w:r>
        <w:rPr>
          <w:rFonts w:ascii="Times New Roman"/>
          <w:b w:val="false"/>
          <w:i w:val="false"/>
          <w:color w:val="000000"/>
          <w:sz w:val="28"/>
        </w:rPr>
        <w:t>
      47) организация и обеспечение охраны в резервном фонде рыбохозяйственных водоемов и (или) участков;</w:t>
      </w:r>
    </w:p>
    <w:p>
      <w:pPr>
        <w:spacing w:after="0"/>
        <w:ind w:left="0"/>
        <w:jc w:val="both"/>
      </w:pPr>
      <w:r>
        <w:rPr>
          <w:rFonts w:ascii="Times New Roman"/>
          <w:b w:val="false"/>
          <w:i w:val="false"/>
          <w:color w:val="000000"/>
          <w:sz w:val="28"/>
        </w:rPr>
        <w:t>
      48) на основании научных рекомендаций ведение паспортизаций рыбохозяйственных водоемов и (или) участков;</w:t>
      </w:r>
    </w:p>
    <w:p>
      <w:pPr>
        <w:spacing w:after="0"/>
        <w:ind w:left="0"/>
        <w:jc w:val="both"/>
      </w:pPr>
      <w:r>
        <w:rPr>
          <w:rFonts w:ascii="Times New Roman"/>
          <w:b w:val="false"/>
          <w:i w:val="false"/>
          <w:color w:val="000000"/>
          <w:sz w:val="28"/>
        </w:rPr>
        <w:t>
      49) внесение предложений в акимат области по установлению зоны рекреационного рыболовства;</w:t>
      </w:r>
    </w:p>
    <w:p>
      <w:pPr>
        <w:spacing w:after="0"/>
        <w:ind w:left="0"/>
        <w:jc w:val="both"/>
      </w:pPr>
      <w:r>
        <w:rPr>
          <w:rFonts w:ascii="Times New Roman"/>
          <w:b w:val="false"/>
          <w:i w:val="false"/>
          <w:color w:val="000000"/>
          <w:sz w:val="28"/>
        </w:rPr>
        <w:t>
      50) внесение предложений в акимат области по установлению границы рыбохозяйственных участков, открывают и закрывают тони (тоневые участки);</w:t>
      </w:r>
    </w:p>
    <w:p>
      <w:pPr>
        <w:spacing w:after="0"/>
        <w:ind w:left="0"/>
        <w:jc w:val="both"/>
      </w:pPr>
      <w:r>
        <w:rPr>
          <w:rFonts w:ascii="Times New Roman"/>
          <w:b w:val="false"/>
          <w:i w:val="false"/>
          <w:color w:val="000000"/>
          <w:sz w:val="28"/>
        </w:rPr>
        <w:t>
      51) выдача разрешения на пользование животным миром,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p>
    <w:p>
      <w:pPr>
        <w:spacing w:after="0"/>
        <w:ind w:left="0"/>
        <w:jc w:val="both"/>
      </w:pPr>
      <w:r>
        <w:rPr>
          <w:rFonts w:ascii="Times New Roman"/>
          <w:b w:val="false"/>
          <w:i w:val="false"/>
          <w:color w:val="000000"/>
          <w:sz w:val="28"/>
        </w:rPr>
        <w:t>
      52) организация и (или) обеспечение проведение научных исследований и проектно-изыскательских работ в области охраны, воспроизводства и использования животного мира на территории области;</w:t>
      </w:r>
    </w:p>
    <w:p>
      <w:pPr>
        <w:spacing w:after="0"/>
        <w:ind w:left="0"/>
        <w:jc w:val="both"/>
      </w:pPr>
      <w:r>
        <w:rPr>
          <w:rFonts w:ascii="Times New Roman"/>
          <w:b w:val="false"/>
          <w:i w:val="false"/>
          <w:color w:val="000000"/>
          <w:sz w:val="28"/>
        </w:rPr>
        <w:t>
      53) организация мелиоративного лова рыб в случаях возникновения угрозы замора на рыбохозяйственных водоемах и (или) участках резервного фонда на основании решения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
      54) возмещение части расходов, понесенных субъектом рыбного хозяйства при инвестиционных вложениях;</w:t>
      </w:r>
    </w:p>
    <w:p>
      <w:pPr>
        <w:spacing w:after="0"/>
        <w:ind w:left="0"/>
        <w:jc w:val="both"/>
      </w:pPr>
      <w:r>
        <w:rPr>
          <w:rFonts w:ascii="Times New Roman"/>
          <w:b w:val="false"/>
          <w:i w:val="false"/>
          <w:color w:val="000000"/>
          <w:sz w:val="28"/>
        </w:rPr>
        <w:t>
      55) выдача субсидий на повышение продуктивности и качества продукции аквакультуры (рыбоводства), а также развитие племенного рыбоводства;</w:t>
      </w:r>
    </w:p>
    <w:p>
      <w:pPr>
        <w:spacing w:after="0"/>
        <w:ind w:left="0"/>
        <w:jc w:val="both"/>
      </w:pPr>
      <w:r>
        <w:rPr>
          <w:rFonts w:ascii="Times New Roman"/>
          <w:b w:val="false"/>
          <w:i w:val="false"/>
          <w:color w:val="000000"/>
          <w:sz w:val="28"/>
        </w:rPr>
        <w:t>
      56) организация и проведение государственной экологической экспертизы в отношении проектной документации по строительству и (или) эксплуатации объектов II категории в рамках процедуры выдачи экологических разрешений на воздействие;</w:t>
      </w:r>
    </w:p>
    <w:p>
      <w:pPr>
        <w:spacing w:after="0"/>
        <w:ind w:left="0"/>
        <w:jc w:val="both"/>
      </w:pPr>
      <w:r>
        <w:rPr>
          <w:rFonts w:ascii="Times New Roman"/>
          <w:b w:val="false"/>
          <w:i w:val="false"/>
          <w:color w:val="000000"/>
          <w:sz w:val="28"/>
        </w:rPr>
        <w:t>
      57) организация и проведение государственной экологической экспертизы в отношении проектной документации по строительству и (или) эксплуатации объектов III категории при подготовке декларации о воздействии на окружающую среду;</w:t>
      </w:r>
    </w:p>
    <w:p>
      <w:pPr>
        <w:spacing w:after="0"/>
        <w:ind w:left="0"/>
        <w:jc w:val="both"/>
      </w:pPr>
      <w:r>
        <w:rPr>
          <w:rFonts w:ascii="Times New Roman"/>
          <w:b w:val="false"/>
          <w:i w:val="false"/>
          <w:color w:val="000000"/>
          <w:sz w:val="28"/>
        </w:rPr>
        <w:t>
      58) организация и проведение государственной экологической экспертизы в отношении иных объектов государственной экологической экспертизы, предусмотренных законами Республики Казахстан, государственная экологическая экспертиза которых не входит в компетенцию уполномоченного органа в области охраны окружающей среды;</w:t>
      </w:r>
    </w:p>
    <w:p>
      <w:pPr>
        <w:spacing w:after="0"/>
        <w:ind w:left="0"/>
        <w:jc w:val="both"/>
      </w:pPr>
      <w:r>
        <w:rPr>
          <w:rFonts w:ascii="Times New Roman"/>
          <w:b w:val="false"/>
          <w:i w:val="false"/>
          <w:color w:val="000000"/>
          <w:sz w:val="28"/>
        </w:rPr>
        <w:t>
      59) организация общественных слушаний при проведении государственной экологической экспертизы;</w:t>
      </w:r>
    </w:p>
    <w:p>
      <w:pPr>
        <w:spacing w:after="0"/>
        <w:ind w:left="0"/>
        <w:jc w:val="both"/>
      </w:pPr>
      <w:r>
        <w:rPr>
          <w:rFonts w:ascii="Times New Roman"/>
          <w:b w:val="false"/>
          <w:i w:val="false"/>
          <w:color w:val="000000"/>
          <w:sz w:val="28"/>
        </w:rPr>
        <w:t>
      60) принятие деклараций о воздействии на окружающую среду;</w:t>
      </w:r>
    </w:p>
    <w:p>
      <w:pPr>
        <w:spacing w:after="0"/>
        <w:ind w:left="0"/>
        <w:jc w:val="both"/>
      </w:pPr>
      <w:r>
        <w:rPr>
          <w:rFonts w:ascii="Times New Roman"/>
          <w:b w:val="false"/>
          <w:i w:val="false"/>
          <w:color w:val="000000"/>
          <w:sz w:val="28"/>
        </w:rPr>
        <w:t>
      61) ведение реестра экологических разрешений и деклараций о воздействии на окружающую среду;</w:t>
      </w:r>
    </w:p>
    <w:p>
      <w:pPr>
        <w:spacing w:after="0"/>
        <w:ind w:left="0"/>
        <w:jc w:val="both"/>
      </w:pPr>
      <w:r>
        <w:rPr>
          <w:rFonts w:ascii="Times New Roman"/>
          <w:b w:val="false"/>
          <w:i w:val="false"/>
          <w:color w:val="000000"/>
          <w:sz w:val="28"/>
        </w:rPr>
        <w:t>
      62) направление в территориальное подразделение уполномоченного органа в области охраны окружающей среды сводных данных по принятым декларациям о воздействии на окружающую среду;</w:t>
      </w:r>
    </w:p>
    <w:p>
      <w:pPr>
        <w:spacing w:after="0"/>
        <w:ind w:left="0"/>
        <w:jc w:val="both"/>
      </w:pPr>
      <w:r>
        <w:rPr>
          <w:rFonts w:ascii="Times New Roman"/>
          <w:b w:val="false"/>
          <w:i w:val="false"/>
          <w:color w:val="000000"/>
          <w:sz w:val="28"/>
        </w:rPr>
        <w:t>
      63) выдача замечаний и предложений в отношении обязательных экологических условий, подлежащих включению в комплексное экологическое разрешение;</w:t>
      </w:r>
    </w:p>
    <w:p>
      <w:pPr>
        <w:spacing w:after="0"/>
        <w:ind w:left="0"/>
        <w:jc w:val="both"/>
      </w:pPr>
      <w:r>
        <w:rPr>
          <w:rFonts w:ascii="Times New Roman"/>
          <w:b w:val="false"/>
          <w:i w:val="false"/>
          <w:color w:val="000000"/>
          <w:sz w:val="28"/>
        </w:rPr>
        <w:t>
      64) выдача экологических разрешений на воздействие для объектов II категории;</w:t>
      </w:r>
    </w:p>
    <w:p>
      <w:pPr>
        <w:spacing w:after="0"/>
        <w:ind w:left="0"/>
        <w:jc w:val="both"/>
      </w:pPr>
      <w:r>
        <w:rPr>
          <w:rFonts w:ascii="Times New Roman"/>
          <w:b w:val="false"/>
          <w:i w:val="false"/>
          <w:color w:val="000000"/>
          <w:sz w:val="28"/>
        </w:rPr>
        <w:t>
      65) принитие отчетов о выполнении плана мероприятий по охране окружающей среды;</w:t>
      </w:r>
    </w:p>
    <w:p>
      <w:pPr>
        <w:spacing w:after="0"/>
        <w:ind w:left="0"/>
        <w:jc w:val="both"/>
      </w:pPr>
      <w:r>
        <w:rPr>
          <w:rFonts w:ascii="Times New Roman"/>
          <w:b w:val="false"/>
          <w:i w:val="false"/>
          <w:color w:val="000000"/>
          <w:sz w:val="28"/>
        </w:rPr>
        <w:t>
      66) обеспечение инвентаризации стационарных источников выбросов загрязняющих веществ в атмосферный воздух в населенных пунктах с населением свыше десяти тысяч человек;</w:t>
      </w:r>
    </w:p>
    <w:p>
      <w:pPr>
        <w:spacing w:after="0"/>
        <w:ind w:left="0"/>
        <w:jc w:val="both"/>
      </w:pPr>
      <w:r>
        <w:rPr>
          <w:rFonts w:ascii="Times New Roman"/>
          <w:b w:val="false"/>
          <w:i w:val="false"/>
          <w:color w:val="000000"/>
          <w:sz w:val="28"/>
        </w:rPr>
        <w:t>
      67) обеспечение проведения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p>
      <w:pPr>
        <w:spacing w:after="0"/>
        <w:ind w:left="0"/>
        <w:jc w:val="both"/>
      </w:pPr>
      <w:r>
        <w:rPr>
          <w:rFonts w:ascii="Times New Roman"/>
          <w:b w:val="false"/>
          <w:i w:val="false"/>
          <w:color w:val="000000"/>
          <w:sz w:val="28"/>
        </w:rPr>
        <w:t>
      68) выдача разрешений на создание новых (расширение действующих) накопителей-испарителей;</w:t>
      </w:r>
    </w:p>
    <w:p>
      <w:pPr>
        <w:spacing w:after="0"/>
        <w:ind w:left="0"/>
        <w:jc w:val="both"/>
      </w:pPr>
      <w:r>
        <w:rPr>
          <w:rFonts w:ascii="Times New Roman"/>
          <w:b w:val="false"/>
          <w:i w:val="false"/>
          <w:color w:val="000000"/>
          <w:sz w:val="28"/>
        </w:rPr>
        <w:t>
      69) реализация государственной политики в сфере охраны окружающей среды;</w:t>
      </w:r>
    </w:p>
    <w:p>
      <w:pPr>
        <w:spacing w:after="0"/>
        <w:ind w:left="0"/>
        <w:jc w:val="both"/>
      </w:pPr>
      <w:r>
        <w:rPr>
          <w:rFonts w:ascii="Times New Roman"/>
          <w:b w:val="false"/>
          <w:i w:val="false"/>
          <w:color w:val="000000"/>
          <w:sz w:val="28"/>
        </w:rPr>
        <w:t>
      70) разработка в пределах своей компетенции целевых показателей качества окружающей среды;</w:t>
      </w:r>
    </w:p>
    <w:p>
      <w:pPr>
        <w:spacing w:after="0"/>
        <w:ind w:left="0"/>
        <w:jc w:val="both"/>
      </w:pPr>
      <w:r>
        <w:rPr>
          <w:rFonts w:ascii="Times New Roman"/>
          <w:b w:val="false"/>
          <w:i w:val="false"/>
          <w:color w:val="000000"/>
          <w:sz w:val="28"/>
        </w:rPr>
        <w:t>
      71) разработка плана мероприятий по охране окружающей среды и представление на утверждение областному маслихату;</w:t>
      </w:r>
    </w:p>
    <w:p>
      <w:pPr>
        <w:spacing w:after="0"/>
        <w:ind w:left="0"/>
        <w:jc w:val="both"/>
      </w:pPr>
      <w:r>
        <w:rPr>
          <w:rFonts w:ascii="Times New Roman"/>
          <w:b w:val="false"/>
          <w:i w:val="false"/>
          <w:color w:val="000000"/>
          <w:sz w:val="28"/>
        </w:rPr>
        <w:t>
      72) создание условий для привлечения инвестиций в проведение мероприятий по охране окружающей среды, модернизацию существующей и строительство новой инфраструктуры, обеспечивающей высокий уровень охраны окружающей среды;</w:t>
      </w:r>
    </w:p>
    <w:p>
      <w:pPr>
        <w:spacing w:after="0"/>
        <w:ind w:left="0"/>
        <w:jc w:val="both"/>
      </w:pPr>
      <w:r>
        <w:rPr>
          <w:rFonts w:ascii="Times New Roman"/>
          <w:b w:val="false"/>
          <w:i w:val="false"/>
          <w:color w:val="000000"/>
          <w:sz w:val="28"/>
        </w:rPr>
        <w:t>
      73) определение и осуществление мероприятий по стимулированию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планирование восстановления отходов, образуемых в процессе производства продукции (выполнения работ, оказания услуг), осуществление сбора и заготовку таких отходов, строительство соответствующих предприятий и цехов, а также организация производства оборудования для восстановления отходов, принятие паевоего участия в финансировании мероприятий по уменьшению объемов образования отходов и увеличению доли восстановления образуемых отходов;</w:t>
      </w:r>
    </w:p>
    <w:p>
      <w:pPr>
        <w:spacing w:after="0"/>
        <w:ind w:left="0"/>
        <w:jc w:val="both"/>
      </w:pPr>
      <w:r>
        <w:rPr>
          <w:rFonts w:ascii="Times New Roman"/>
          <w:b w:val="false"/>
          <w:i w:val="false"/>
          <w:color w:val="000000"/>
          <w:sz w:val="28"/>
        </w:rPr>
        <w:t>
      74) реализация государственной политики в области использования и охраны водного фонда;</w:t>
      </w:r>
    </w:p>
    <w:p>
      <w:pPr>
        <w:spacing w:after="0"/>
        <w:ind w:left="0"/>
        <w:jc w:val="both"/>
      </w:pPr>
      <w:r>
        <w:rPr>
          <w:rFonts w:ascii="Times New Roman"/>
          <w:b w:val="false"/>
          <w:i w:val="false"/>
          <w:color w:val="000000"/>
          <w:sz w:val="28"/>
        </w:rPr>
        <w:t>
      75) организация работ по установлению водоохранных зон, полос и зон санитарной охраны источников питьевого водоснабжения по согласованию с бассейновыми иснпекциями по регулированию использования и охране водных ресурсов, государственным органом в области санитарно-эпидемиологического благополучия населения;</w:t>
      </w:r>
    </w:p>
    <w:p>
      <w:pPr>
        <w:spacing w:after="0"/>
        <w:ind w:left="0"/>
        <w:jc w:val="both"/>
      </w:pPr>
      <w:r>
        <w:rPr>
          <w:rFonts w:ascii="Times New Roman"/>
          <w:b w:val="false"/>
          <w:i w:val="false"/>
          <w:color w:val="000000"/>
          <w:sz w:val="28"/>
        </w:rPr>
        <w:t>
      76) внесение предложений в акимат области по установлению режима и особых условий хозяйственного использования водоохранных зон и полос по согласованию с бассейновыми иснпекциями по регулированию использования и охране водных ресурсов;</w:t>
      </w:r>
    </w:p>
    <w:p>
      <w:pPr>
        <w:spacing w:after="0"/>
        <w:ind w:left="0"/>
        <w:jc w:val="both"/>
      </w:pPr>
      <w:r>
        <w:rPr>
          <w:rFonts w:ascii="Times New Roman"/>
          <w:b w:val="false"/>
          <w:i w:val="false"/>
          <w:color w:val="000000"/>
          <w:sz w:val="28"/>
        </w:rPr>
        <w:t>
      77) в пределах своей компетенции организация предоставления водных объектов в обособленное или совместное пользование на конкурсной основе в порядке, установленном Правительством Республики Казахстан;</w:t>
      </w:r>
    </w:p>
    <w:p>
      <w:pPr>
        <w:spacing w:after="0"/>
        <w:ind w:left="0"/>
        <w:jc w:val="both"/>
      </w:pPr>
      <w:r>
        <w:rPr>
          <w:rFonts w:ascii="Times New Roman"/>
          <w:b w:val="false"/>
          <w:i w:val="false"/>
          <w:color w:val="000000"/>
          <w:sz w:val="28"/>
        </w:rPr>
        <w:t>
      78) принятие участия в работе бассейновых советов и бассейновом соглашении, внесение на рассмотрение бассейновых советов предложений по рациональному использованию и охране водных объектов, изучение рекомендаций бассейновых советов, принятие мер по их реализации;</w:t>
      </w:r>
    </w:p>
    <w:p>
      <w:pPr>
        <w:spacing w:after="0"/>
        <w:ind w:left="0"/>
        <w:jc w:val="both"/>
      </w:pPr>
      <w:r>
        <w:rPr>
          <w:rFonts w:ascii="Times New Roman"/>
          <w:b w:val="false"/>
          <w:i w:val="false"/>
          <w:color w:val="000000"/>
          <w:sz w:val="28"/>
        </w:rPr>
        <w:t>
      79) в пределах своей компетенции обеспечение реализации мероприятий по рациональному использованию и охране водных объектов;</w:t>
      </w:r>
    </w:p>
    <w:p>
      <w:pPr>
        <w:spacing w:after="0"/>
        <w:ind w:left="0"/>
        <w:jc w:val="both"/>
      </w:pPr>
      <w:r>
        <w:rPr>
          <w:rFonts w:ascii="Times New Roman"/>
          <w:b w:val="false"/>
          <w:i w:val="false"/>
          <w:color w:val="000000"/>
          <w:sz w:val="28"/>
        </w:rPr>
        <w:t>
      80) согласование размещения и ввода в эксплуатацию предприятий и других сооружений, влияющих на состояние вод, а также условий и производства строительных, дноуглубительных и других работ на водных объектах, водоохранных зонах и полосах в пределах своей компетенции;</w:t>
      </w:r>
    </w:p>
    <w:p>
      <w:pPr>
        <w:spacing w:after="0"/>
        <w:ind w:left="0"/>
        <w:jc w:val="both"/>
      </w:pPr>
      <w:r>
        <w:rPr>
          <w:rFonts w:ascii="Times New Roman"/>
          <w:b w:val="false"/>
          <w:i w:val="false"/>
          <w:color w:val="000000"/>
          <w:sz w:val="28"/>
        </w:rPr>
        <w:t>
      81) осуществление информирования населения о состоянии водных объектов, находящихся на территории области;</w:t>
      </w:r>
    </w:p>
    <w:p>
      <w:pPr>
        <w:spacing w:after="0"/>
        <w:ind w:left="0"/>
        <w:jc w:val="both"/>
      </w:pPr>
      <w:r>
        <w:rPr>
          <w:rFonts w:ascii="Times New Roman"/>
          <w:b w:val="false"/>
          <w:i w:val="false"/>
          <w:color w:val="000000"/>
          <w:sz w:val="28"/>
        </w:rPr>
        <w:t>
      82) осуществление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 постановлением акимата Туркестанской области от 27.09.2023 </w:t>
      </w:r>
      <w:r>
        <w:rPr>
          <w:rFonts w:ascii="Times New Roman"/>
          <w:b w:val="false"/>
          <w:i w:val="false"/>
          <w:color w:val="000000"/>
          <w:sz w:val="28"/>
        </w:rPr>
        <w:t>№ 213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23"/>
    <w:bookmarkStart w:name="z26" w:id="24"/>
    <w:p>
      <w:pPr>
        <w:spacing w:after="0"/>
        <w:ind w:left="0"/>
        <w:jc w:val="both"/>
      </w:pPr>
      <w:r>
        <w:rPr>
          <w:rFonts w:ascii="Times New Roman"/>
          <w:b w:val="false"/>
          <w:i w:val="false"/>
          <w:color w:val="000000"/>
          <w:sz w:val="28"/>
        </w:rPr>
        <w:t>
      16. Руководство Управления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полномочий.</w:t>
      </w:r>
    </w:p>
    <w:bookmarkEnd w:id="24"/>
    <w:bookmarkStart w:name="z27" w:id="25"/>
    <w:p>
      <w:pPr>
        <w:spacing w:after="0"/>
        <w:ind w:left="0"/>
        <w:jc w:val="both"/>
      </w:pPr>
      <w:r>
        <w:rPr>
          <w:rFonts w:ascii="Times New Roman"/>
          <w:b w:val="false"/>
          <w:i w:val="false"/>
          <w:color w:val="000000"/>
          <w:sz w:val="28"/>
        </w:rPr>
        <w:t>
      17. Первый руководитель Управления назначается на должность и освобождается от должности в соответсвии с законадательством Республики Казахстан.</w:t>
      </w:r>
    </w:p>
    <w:bookmarkEnd w:id="25"/>
    <w:bookmarkStart w:name="z28" w:id="26"/>
    <w:p>
      <w:pPr>
        <w:spacing w:after="0"/>
        <w:ind w:left="0"/>
        <w:jc w:val="both"/>
      </w:pPr>
      <w:r>
        <w:rPr>
          <w:rFonts w:ascii="Times New Roman"/>
          <w:b w:val="false"/>
          <w:i w:val="false"/>
          <w:color w:val="000000"/>
          <w:sz w:val="28"/>
        </w:rPr>
        <w:t>
      18. Первый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19. Полномочия первого руководителя Управления:</w:t>
      </w:r>
    </w:p>
    <w:bookmarkEnd w:id="27"/>
    <w:p>
      <w:pPr>
        <w:spacing w:after="0"/>
        <w:ind w:left="0"/>
        <w:jc w:val="both"/>
      </w:pPr>
      <w:r>
        <w:rPr>
          <w:rFonts w:ascii="Times New Roman"/>
          <w:b w:val="false"/>
          <w:i w:val="false"/>
          <w:color w:val="000000"/>
          <w:sz w:val="28"/>
        </w:rPr>
        <w:t>
      1) определяет обязанности и круг полномочий работников Управления;</w:t>
      </w:r>
    </w:p>
    <w:p>
      <w:pPr>
        <w:spacing w:after="0"/>
        <w:ind w:left="0"/>
        <w:jc w:val="both"/>
      </w:pPr>
      <w:r>
        <w:rPr>
          <w:rFonts w:ascii="Times New Roman"/>
          <w:b w:val="false"/>
          <w:i w:val="false"/>
          <w:color w:val="000000"/>
          <w:sz w:val="28"/>
        </w:rPr>
        <w:t>
      2) назначает на должности и освобождает от должности работников Управления, в соответствии с законодательством Республики Казахстан;</w:t>
      </w:r>
    </w:p>
    <w:p>
      <w:pPr>
        <w:spacing w:after="0"/>
        <w:ind w:left="0"/>
        <w:jc w:val="both"/>
      </w:pPr>
      <w:r>
        <w:rPr>
          <w:rFonts w:ascii="Times New Roman"/>
          <w:b w:val="false"/>
          <w:i w:val="false"/>
          <w:color w:val="000000"/>
          <w:sz w:val="28"/>
        </w:rPr>
        <w:t>
      3) утверждает положения о структурных подразделениях Управления, издает приказы и дает указания, обязательные для исполнения;</w:t>
      </w:r>
    </w:p>
    <w:p>
      <w:pPr>
        <w:spacing w:after="0"/>
        <w:ind w:left="0"/>
        <w:jc w:val="both"/>
      </w:pPr>
      <w:r>
        <w:rPr>
          <w:rFonts w:ascii="Times New Roman"/>
          <w:b w:val="false"/>
          <w:i w:val="false"/>
          <w:color w:val="000000"/>
          <w:sz w:val="28"/>
        </w:rPr>
        <w:t>
      4) в установленном законодательством порядке решает вопросы поощрения, оказания материальной помощи, наложения дисциплинарных взысканий;</w:t>
      </w:r>
    </w:p>
    <w:p>
      <w:pPr>
        <w:spacing w:after="0"/>
        <w:ind w:left="0"/>
        <w:jc w:val="both"/>
      </w:pPr>
      <w:r>
        <w:rPr>
          <w:rFonts w:ascii="Times New Roman"/>
          <w:b w:val="false"/>
          <w:i w:val="false"/>
          <w:color w:val="000000"/>
          <w:sz w:val="28"/>
        </w:rPr>
        <w:t>
      5) без доверенности действует от имени Управления;</w:t>
      </w:r>
    </w:p>
    <w:p>
      <w:pPr>
        <w:spacing w:after="0"/>
        <w:ind w:left="0"/>
        <w:jc w:val="both"/>
      </w:pPr>
      <w:r>
        <w:rPr>
          <w:rFonts w:ascii="Times New Roman"/>
          <w:b w:val="false"/>
          <w:i w:val="false"/>
          <w:color w:val="000000"/>
          <w:sz w:val="28"/>
        </w:rPr>
        <w:t>
      6) представляет Управление во всех взаимоотношениях с государственными органами и иными организациями в соответствии с законодательством Республики Казахстан;</w:t>
      </w:r>
    </w:p>
    <w:p>
      <w:pPr>
        <w:spacing w:after="0"/>
        <w:ind w:left="0"/>
        <w:jc w:val="both"/>
      </w:pPr>
      <w:r>
        <w:rPr>
          <w:rFonts w:ascii="Times New Roman"/>
          <w:b w:val="false"/>
          <w:i w:val="false"/>
          <w:color w:val="000000"/>
          <w:sz w:val="28"/>
        </w:rPr>
        <w:t>
      7) несет персональную ответственность за непринятие мер по противодействию коррупции;</w:t>
      </w:r>
    </w:p>
    <w:p>
      <w:pPr>
        <w:spacing w:after="0"/>
        <w:ind w:left="0"/>
        <w:jc w:val="both"/>
      </w:pPr>
      <w:r>
        <w:rPr>
          <w:rFonts w:ascii="Times New Roman"/>
          <w:b w:val="false"/>
          <w:i w:val="false"/>
          <w:color w:val="000000"/>
          <w:sz w:val="28"/>
        </w:rPr>
        <w:t>
      8) утверждает план финансирования Управления по обязательствам и платежам, структуру Управления в пределах установленного фонда оплаты труда и численности работников;</w:t>
      </w:r>
    </w:p>
    <w:p>
      <w:pPr>
        <w:spacing w:after="0"/>
        <w:ind w:left="0"/>
        <w:jc w:val="both"/>
      </w:pPr>
      <w:r>
        <w:rPr>
          <w:rFonts w:ascii="Times New Roman"/>
          <w:b w:val="false"/>
          <w:i w:val="false"/>
          <w:color w:val="000000"/>
          <w:sz w:val="28"/>
        </w:rPr>
        <w:t>
      9)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первого руководителя Управления в период его отсутствия осуществляется лицом, его замещающим в соответствии с действующим законодательством.</w:t>
      </w:r>
    </w:p>
    <w:bookmarkStart w:name="z30" w:id="28"/>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 Республики Казахстан.</w:t>
      </w:r>
    </w:p>
    <w:bookmarkEnd w:id="28"/>
    <w:bookmarkStart w:name="z31" w:id="29"/>
    <w:p>
      <w:pPr>
        <w:spacing w:after="0"/>
        <w:ind w:left="0"/>
        <w:jc w:val="left"/>
      </w:pPr>
      <w:r>
        <w:rPr>
          <w:rFonts w:ascii="Times New Roman"/>
          <w:b/>
          <w:i w:val="false"/>
          <w:color w:val="000000"/>
        </w:rPr>
        <w:t xml:space="preserve"> Глава 4. Имущество государственного органа</w:t>
      </w:r>
    </w:p>
    <w:bookmarkEnd w:id="29"/>
    <w:bookmarkStart w:name="z32" w:id="30"/>
    <w:p>
      <w:pPr>
        <w:spacing w:after="0"/>
        <w:ind w:left="0"/>
        <w:jc w:val="both"/>
      </w:pPr>
      <w:r>
        <w:rPr>
          <w:rFonts w:ascii="Times New Roman"/>
          <w:b w:val="false"/>
          <w:i w:val="false"/>
          <w:color w:val="000000"/>
          <w:sz w:val="28"/>
        </w:rPr>
        <w:t>
      21. Управления может иметь на правое оперативного управления обособленное имущество в случаях, предусмотренных законодательством.</w:t>
      </w:r>
    </w:p>
    <w:bookmarkEnd w:id="3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3" w:id="31"/>
    <w:p>
      <w:pPr>
        <w:spacing w:after="0"/>
        <w:ind w:left="0"/>
        <w:jc w:val="both"/>
      </w:pPr>
      <w:r>
        <w:rPr>
          <w:rFonts w:ascii="Times New Roman"/>
          <w:b w:val="false"/>
          <w:i w:val="false"/>
          <w:color w:val="000000"/>
          <w:sz w:val="28"/>
        </w:rPr>
        <w:t>
      22. Имущество, закрепленное за Управлением относится к коммунальной собственности.</w:t>
      </w:r>
    </w:p>
    <w:bookmarkEnd w:id="31"/>
    <w:bookmarkStart w:name="z34" w:id="32"/>
    <w:p>
      <w:pPr>
        <w:spacing w:after="0"/>
        <w:ind w:left="0"/>
        <w:jc w:val="both"/>
      </w:pPr>
      <w:r>
        <w:rPr>
          <w:rFonts w:ascii="Times New Roman"/>
          <w:b w:val="false"/>
          <w:i w:val="false"/>
          <w:color w:val="000000"/>
          <w:sz w:val="28"/>
        </w:rPr>
        <w:t>
      23.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
    <w:bookmarkStart w:name="z35" w:id="3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33"/>
    <w:bookmarkStart w:name="z36" w:id="34"/>
    <w:p>
      <w:pPr>
        <w:spacing w:after="0"/>
        <w:ind w:left="0"/>
        <w:jc w:val="both"/>
      </w:pPr>
      <w:r>
        <w:rPr>
          <w:rFonts w:ascii="Times New Roman"/>
          <w:b w:val="false"/>
          <w:i w:val="false"/>
          <w:color w:val="000000"/>
          <w:sz w:val="28"/>
        </w:rPr>
        <w:t>
      24. Реорганизация и упразднение Управления осуществляются в соответствии с законодательством Республики Казахстан.</w:t>
      </w:r>
    </w:p>
    <w:bookmarkEnd w:id="34"/>
    <w:p>
      <w:pPr>
        <w:spacing w:after="0"/>
        <w:ind w:left="0"/>
        <w:jc w:val="both"/>
      </w:pPr>
      <w:r>
        <w:rPr>
          <w:rFonts w:ascii="Times New Roman"/>
          <w:b w:val="false"/>
          <w:i w:val="false"/>
          <w:color w:val="000000"/>
          <w:sz w:val="28"/>
        </w:rPr>
        <w:t>
      Перечень организаций, находящихся в ведении Управления:</w:t>
      </w:r>
    </w:p>
    <w:p>
      <w:pPr>
        <w:spacing w:after="0"/>
        <w:ind w:left="0"/>
        <w:jc w:val="both"/>
      </w:pPr>
      <w:r>
        <w:rPr>
          <w:rFonts w:ascii="Times New Roman"/>
          <w:b w:val="false"/>
          <w:i w:val="false"/>
          <w:color w:val="000000"/>
          <w:sz w:val="28"/>
        </w:rPr>
        <w:t>
      1) Коммунальное государственное учреждение "Бадамское государственное учреждение по охране лесов и животного мира";</w:t>
      </w:r>
    </w:p>
    <w:p>
      <w:pPr>
        <w:spacing w:after="0"/>
        <w:ind w:left="0"/>
        <w:jc w:val="both"/>
      </w:pPr>
      <w:r>
        <w:rPr>
          <w:rFonts w:ascii="Times New Roman"/>
          <w:b w:val="false"/>
          <w:i w:val="false"/>
          <w:color w:val="000000"/>
          <w:sz w:val="28"/>
        </w:rPr>
        <w:t>
      2) Коммунальное государственное учреждение "Отрарское учреждение по охране лесов и животного мира";</w:t>
      </w:r>
    </w:p>
    <w:p>
      <w:pPr>
        <w:spacing w:after="0"/>
        <w:ind w:left="0"/>
        <w:jc w:val="both"/>
      </w:pPr>
      <w:r>
        <w:rPr>
          <w:rFonts w:ascii="Times New Roman"/>
          <w:b w:val="false"/>
          <w:i w:val="false"/>
          <w:color w:val="000000"/>
          <w:sz w:val="28"/>
        </w:rPr>
        <w:t>
      3) Коммунальное государственное учреждение "Созакское государственное учреждение по охране лесов и животного мира";</w:t>
      </w:r>
    </w:p>
    <w:p>
      <w:pPr>
        <w:spacing w:after="0"/>
        <w:ind w:left="0"/>
        <w:jc w:val="both"/>
      </w:pPr>
      <w:r>
        <w:rPr>
          <w:rFonts w:ascii="Times New Roman"/>
          <w:b w:val="false"/>
          <w:i w:val="false"/>
          <w:color w:val="000000"/>
          <w:sz w:val="28"/>
        </w:rPr>
        <w:t>
      4) Коммунальное государственное учреждение "Шардаринское государственно учреждение по охране лесов и животного мира";</w:t>
      </w:r>
    </w:p>
    <w:p>
      <w:pPr>
        <w:spacing w:after="0"/>
        <w:ind w:left="0"/>
        <w:jc w:val="both"/>
      </w:pPr>
      <w:r>
        <w:rPr>
          <w:rFonts w:ascii="Times New Roman"/>
          <w:b w:val="false"/>
          <w:i w:val="false"/>
          <w:color w:val="000000"/>
          <w:sz w:val="28"/>
        </w:rPr>
        <w:t>
      5) Коммунальное государственное учреждение "Жасыл желек";</w:t>
      </w:r>
    </w:p>
    <w:p>
      <w:pPr>
        <w:spacing w:after="0"/>
        <w:ind w:left="0"/>
        <w:jc w:val="both"/>
      </w:pPr>
      <w:r>
        <w:rPr>
          <w:rFonts w:ascii="Times New Roman"/>
          <w:b w:val="false"/>
          <w:i w:val="false"/>
          <w:color w:val="000000"/>
          <w:sz w:val="28"/>
        </w:rPr>
        <w:t>
      6) Коммунальное государственное учреждение "Сырдарья-Туркестанский государственный региональный природный парк";</w:t>
      </w:r>
    </w:p>
    <w:p>
      <w:pPr>
        <w:spacing w:after="0"/>
        <w:ind w:left="0"/>
        <w:jc w:val="both"/>
      </w:pPr>
      <w:r>
        <w:rPr>
          <w:rFonts w:ascii="Times New Roman"/>
          <w:b w:val="false"/>
          <w:i w:val="false"/>
          <w:color w:val="000000"/>
          <w:sz w:val="28"/>
        </w:rPr>
        <w:t>
      7) Коммунальное государственное учреждение "Жасыл аймак".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