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18cb" w14:textId="58e1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26 декабря 2022 года № 32/162-VІІ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Арыс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3 295 649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129 125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7 371 077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11 056 899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198 549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10/62-VІІІ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поступлений корпоративного подоходного, индивидуального подоходного налогов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и индивидуальному подоходному налогу с доходов иностранных граждан, не облагаемых у источника выплату в городской бюджет 50 процентов, в областной бюджет 50 процентов, по индивидуальному подоходному налогу с доходов, облагаемых у источника выплаты в городской бюджет 50 процентов, в областной бюджет 50 процентов, по социальному налогу в городской бюджет 50,0 процентов, в областной бюджет 50,0 процентов, индивидуальному подоходному налогу с доходов , не облагаемых у источника выплату в городской бюджет 100,0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2023 год в сумме 12 000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городских бюджетных программ развития и бюджетных инвестиционных проектов и программ на 2023 год.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10/62-VІІІ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государственных закупок, организованных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государственных закупок, организованных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лицам из групп риска, оказавшимся в трудной жизненной ситуации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находящийся в коммунальной собственности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лицам из групп риска, оказавшимся в трудной жизненной ситуации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находящийся в коммунальной собственности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32/162-VІІ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Арысского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10/62-VІІІ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