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fa64" w14:textId="447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Туркестан от 23 апреля 2018 года № 623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города Туркестан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26 октября 2023 года № 1762. Утратило силу постановлением акимата города Туркестан Туркестанской области от 1 июля 2023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01.07.2023 № 238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декабря 2021 года № 230 "О внесении изменений в некоторые приказы Председателя Агентства Республики Казахстан по делам государственной службы и противодействию коррупции" зарегистрированного в Реестре государственной регистрации нормативных правовых актов № 25790 и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декабря 2021 года № 247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зарегистрированного в Реестре государственной регистрации нормативных правовых актов № 26167,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"Об утверждении Методики оценки деятельности административных государственных служащих исполнительных органов финансируемых из местного бюджета и административных государственных служащих аппарата акима города Туркестан корпуса "Б" от 23 апреля 2018 года № 623 (зарегистрировано в государственном реестре нормативных правовых актов № 4605)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корпуса "Б" аппарата акима города Туркестан,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Ауелбекова 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октября 2022 года № 1762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cтруктурного подразделения); E-R-2; E-R-3;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