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90a0" w14:textId="5979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28 декабря 2022 года № 29-198-VII.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"О местном государственном управлении и самоуправлении в Республике Казахстан",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А.Калыбеков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Мырзакент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Енбекши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Жанажол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–96 543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Ииржар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Ж.Нурлыбаев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Атакент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97 226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Бирлик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Жамбыл на 20223-2025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Мактарал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Мактааральского районного маслихата Туркестанской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Мактааральского районного маслихата Туркестанской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