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df12" w14:textId="448d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Созакского района от 13 апреля 2018 года № 110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мая 2022 года № 140. Утратило силу постановлением акимата Созакского района Туркестанской области от 9 октября 2023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09.10.2023 № 272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декабря 2021 года № 230 "О внесении изменений в некоторые приказы Председателя Агентства Республики Казахстан по делам государственной службы и противодействию коррупции" зарегистрированного в Реестре государственной регистрации нормативных правовых актов № 25790 и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декабря 2021 года № 247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зарегистрированного в Реестре государственной регистрации нормативных правовых актов № 26167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от 13 апреля 2018 года № 110 (зарегистрировано в государственном реестре нормативных правовых актов 4578)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корпуса "Б" аппарата акима Созакского района,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Оразова 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мая 2022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