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08a3" w14:textId="65d0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реновации жилищного фонда Толебийского района</w:t>
      </w:r>
    </w:p>
    <w:p>
      <w:pPr>
        <w:spacing w:after="0"/>
        <w:ind w:left="0"/>
        <w:jc w:val="both"/>
      </w:pPr>
      <w:r>
        <w:rPr>
          <w:rFonts w:ascii="Times New Roman"/>
          <w:b w:val="false"/>
          <w:i w:val="false"/>
          <w:color w:val="000000"/>
          <w:sz w:val="28"/>
        </w:rPr>
        <w:t>Постановление акимата Толебийского района Туркестанской области от 7 декабря 2022 года № 609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пунктом-7</w:t>
      </w:r>
      <w:r>
        <w:rPr>
          <w:rFonts w:ascii="Times New Roman"/>
          <w:b w:val="false"/>
          <w:i w:val="false"/>
          <w:color w:val="000000"/>
          <w:sz w:val="28"/>
        </w:rPr>
        <w:t xml:space="preserve">, главой-5.2 "Об утверждении концепции развития жилищно-коммунальной инфраструктуры до 2026 года",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сентября 2022 года за № 736, акимат Толебийского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приложение № 1 к программе реновации жилищного фонда Толебийского района.</w:t>
      </w:r>
    </w:p>
    <w:bookmarkEnd w:id="1"/>
    <w:bookmarkStart w:name="z3" w:id="2"/>
    <w:p>
      <w:pPr>
        <w:spacing w:after="0"/>
        <w:ind w:left="0"/>
        <w:jc w:val="both"/>
      </w:pPr>
      <w:r>
        <w:rPr>
          <w:rFonts w:ascii="Times New Roman"/>
          <w:b w:val="false"/>
          <w:i w:val="false"/>
          <w:color w:val="000000"/>
          <w:sz w:val="28"/>
        </w:rPr>
        <w:t>
      2. Определить отделы государственных учреждений "Отдел строительства, архитектуры и градостроительства Толебийского района" и "Отдел жилищно-коммунального хозяйства, пассажирского транспорта автомобильных дорог Толебийского района" уполномеченным для реализации программы.</w:t>
      </w:r>
    </w:p>
    <w:bookmarkEnd w:id="2"/>
    <w:bookmarkStart w:name="z4" w:id="3"/>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обеспечить в установленном порядке законодательством Республики Казахстан:</w:t>
      </w:r>
    </w:p>
    <w:bookmarkEnd w:id="3"/>
    <w:p>
      <w:pPr>
        <w:spacing w:after="0"/>
        <w:ind w:left="0"/>
        <w:jc w:val="both"/>
      </w:pPr>
      <w:r>
        <w:rPr>
          <w:rFonts w:ascii="Times New Roman"/>
          <w:b w:val="false"/>
          <w:i w:val="false"/>
          <w:color w:val="000000"/>
          <w:sz w:val="28"/>
        </w:rPr>
        <w:t>
      1) в течение десяти календарных дней со дня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интирнет-ресурсе акимата Толебийского района.</w:t>
      </w:r>
    </w:p>
    <w:bookmarkStart w:name="z5" w:id="4"/>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курирующего данную сферу заместителя акима района Серикбаеву Л. </w:t>
      </w:r>
    </w:p>
    <w:bookmarkEnd w:id="4"/>
    <w:bookmarkStart w:name="z6" w:id="5"/>
    <w:p>
      <w:pPr>
        <w:spacing w:after="0"/>
        <w:ind w:left="0"/>
        <w:jc w:val="both"/>
      </w:pPr>
      <w:r>
        <w:rPr>
          <w:rFonts w:ascii="Times New Roman"/>
          <w:b w:val="false"/>
          <w:i w:val="false"/>
          <w:color w:val="000000"/>
          <w:sz w:val="28"/>
        </w:rPr>
        <w:t xml:space="preserve">
      5. Настоящее постановление вводится в действие по истечении десяти календарных дней после дня его первого официального опубликования.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Телгараев 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Толебийского района</w:t>
            </w:r>
            <w:r>
              <w:br/>
            </w:r>
            <w:r>
              <w:rPr>
                <w:rFonts w:ascii="Times New Roman"/>
                <w:b w:val="false"/>
                <w:i w:val="false"/>
                <w:color w:val="000000"/>
                <w:sz w:val="20"/>
              </w:rPr>
              <w:t>от _____________ 2022года</w:t>
            </w:r>
            <w:r>
              <w:br/>
            </w:r>
            <w:r>
              <w:rPr>
                <w:rFonts w:ascii="Times New Roman"/>
                <w:b w:val="false"/>
                <w:i w:val="false"/>
                <w:color w:val="000000"/>
                <w:sz w:val="20"/>
              </w:rPr>
              <w:t>№ ________</w:t>
            </w:r>
          </w:p>
        </w:tc>
      </w:tr>
    </w:tbl>
    <w:bookmarkStart w:name="z8" w:id="6"/>
    <w:p>
      <w:pPr>
        <w:spacing w:after="0"/>
        <w:ind w:left="0"/>
        <w:jc w:val="left"/>
      </w:pPr>
      <w:r>
        <w:rPr>
          <w:rFonts w:ascii="Times New Roman"/>
          <w:b/>
          <w:i w:val="false"/>
          <w:color w:val="000000"/>
        </w:rPr>
        <w:t xml:space="preserve"> Программы реновации жилищного фонда Толебийского района</w:t>
      </w:r>
    </w:p>
    <w:bookmarkEnd w:id="6"/>
    <w:bookmarkStart w:name="z9" w:id="7"/>
    <w:p>
      <w:pPr>
        <w:spacing w:after="0"/>
        <w:ind w:left="0"/>
        <w:jc w:val="left"/>
      </w:pPr>
      <w:r>
        <w:rPr>
          <w:rFonts w:ascii="Times New Roman"/>
          <w:b/>
          <w:i w:val="false"/>
          <w:color w:val="000000"/>
        </w:rPr>
        <w:t xml:space="preserve"> 1. Общие положения</w:t>
      </w:r>
    </w:p>
    <w:bookmarkEnd w:id="7"/>
    <w:bookmarkStart w:name="z10" w:id="8"/>
    <w:p>
      <w:pPr>
        <w:spacing w:after="0"/>
        <w:ind w:left="0"/>
        <w:jc w:val="both"/>
      </w:pPr>
      <w:r>
        <w:rPr>
          <w:rFonts w:ascii="Times New Roman"/>
          <w:b w:val="false"/>
          <w:i w:val="false"/>
          <w:color w:val="000000"/>
          <w:sz w:val="28"/>
        </w:rPr>
        <w:t xml:space="preserve">
      1.1 Программа реновации фонда концепции развития жилищно-коммунальной инфраструктуры в Толебийском районе до 2026 года (Далее – программа реновации) разработана в соответствии с государственной программой,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сентября 2022 года № 736.</w:t>
      </w:r>
    </w:p>
    <w:bookmarkEnd w:id="8"/>
    <w:p>
      <w:pPr>
        <w:spacing w:after="0"/>
        <w:ind w:left="0"/>
        <w:jc w:val="both"/>
      </w:pPr>
      <w:r>
        <w:rPr>
          <w:rFonts w:ascii="Times New Roman"/>
          <w:b w:val="false"/>
          <w:i w:val="false"/>
          <w:color w:val="000000"/>
          <w:sz w:val="28"/>
        </w:rPr>
        <w:t>
      Местные исполнительные органы будут утверждены по согласованию с общественностью программы реновации жилищного фонда "старых кварталов" и установлены в ней механизм и критерии реализации, в том числе порядок и условия возмещения собственникам жилья в объектах, подлежащих реновации, а также механизмы финансирования, в том числе с привлечением уполномоченной организации.</w:t>
      </w:r>
    </w:p>
    <w:p>
      <w:pPr>
        <w:spacing w:after="0"/>
        <w:ind w:left="0"/>
        <w:jc w:val="both"/>
      </w:pPr>
      <w:r>
        <w:rPr>
          <w:rFonts w:ascii="Times New Roman"/>
          <w:b w:val="false"/>
          <w:i w:val="false"/>
          <w:color w:val="000000"/>
          <w:sz w:val="28"/>
        </w:rPr>
        <w:t>
      При этом собственникам жилых помещений будут предоставляться новые квартиры в равнозначных по площади размерах, но не менее однокомнатной квартиры. Собственникам нежилых помещений возмещается ее стоимость.</w:t>
      </w:r>
    </w:p>
    <w:p>
      <w:pPr>
        <w:spacing w:after="0"/>
        <w:ind w:left="0"/>
        <w:jc w:val="both"/>
      </w:pPr>
      <w:r>
        <w:rPr>
          <w:rFonts w:ascii="Times New Roman"/>
          <w:b w:val="false"/>
          <w:i w:val="false"/>
          <w:color w:val="000000"/>
          <w:sz w:val="28"/>
        </w:rPr>
        <w:t>
      В случае согласия собственника нежилого помещения, возмещение за реализуемое имущество может быть обеспечено путем предоставления равнозначных по площади нежилых помещений в строящихся объектах.</w:t>
      </w:r>
    </w:p>
    <w:p>
      <w:pPr>
        <w:spacing w:after="0"/>
        <w:ind w:left="0"/>
        <w:jc w:val="both"/>
      </w:pPr>
      <w:r>
        <w:rPr>
          <w:rFonts w:ascii="Times New Roman"/>
          <w:b w:val="false"/>
          <w:i w:val="false"/>
          <w:color w:val="000000"/>
          <w:sz w:val="28"/>
        </w:rPr>
        <w:t>
      Перечень объектов, подлежащих реновации, определяется Местные исполнительные органы с учетом износа строительных конструкций жилого фонда, их соответствия эксплуатационным требованиям, а также мнения собственников.</w:t>
      </w:r>
    </w:p>
    <w:p>
      <w:pPr>
        <w:spacing w:after="0"/>
        <w:ind w:left="0"/>
        <w:jc w:val="both"/>
      </w:pPr>
      <w:r>
        <w:rPr>
          <w:rFonts w:ascii="Times New Roman"/>
          <w:b w:val="false"/>
          <w:i w:val="false"/>
          <w:color w:val="000000"/>
          <w:sz w:val="28"/>
        </w:rPr>
        <w:t>
      Собственники индивидуальных жилых домов аварийного (ветхого) состояния могут обращаться в Местные исполнительные органы для включения в программу реновации при соблюдении порядка, установленного законодательством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В рамках реализации проектов по реновации жилищного фонда Местные исполнительные органы могут предусматривать строительство малогабаритного жилья и жилья І-IV классов комфортности с коммерческими помещениями и паркингами для реализации на рынке в целях реинвестирования проекта или реновации ветхого жилья.</w:t>
      </w:r>
    </w:p>
    <w:p>
      <w:pPr>
        <w:spacing w:after="0"/>
        <w:ind w:left="0"/>
        <w:jc w:val="both"/>
      </w:pPr>
      <w:r>
        <w:rPr>
          <w:rFonts w:ascii="Times New Roman"/>
          <w:b w:val="false"/>
          <w:i w:val="false"/>
          <w:color w:val="000000"/>
          <w:sz w:val="28"/>
        </w:rPr>
        <w:t>
      Стоимость строительства общей площади жилья определяется на основе положительного заключения комплексной вневедомственной экспертизы на ПСД жилых домов.</w:t>
      </w:r>
    </w:p>
    <w:p>
      <w:pPr>
        <w:spacing w:after="0"/>
        <w:ind w:left="0"/>
        <w:jc w:val="both"/>
      </w:pPr>
      <w:r>
        <w:rPr>
          <w:rFonts w:ascii="Times New Roman"/>
          <w:b w:val="false"/>
          <w:i w:val="false"/>
          <w:color w:val="000000"/>
          <w:sz w:val="28"/>
        </w:rPr>
        <w:t>
      Стоимость реализации 1 квадратного метра общей площади жилья определяется уровнем комфортности строящегося жилья и сложившейся конъюнктуры рынка недвижимости на момент реализации, но не ниже себестоимости строительства.</w:t>
      </w:r>
    </w:p>
    <w:p>
      <w:pPr>
        <w:spacing w:after="0"/>
        <w:ind w:left="0"/>
        <w:jc w:val="both"/>
      </w:pPr>
      <w:r>
        <w:rPr>
          <w:rFonts w:ascii="Times New Roman"/>
          <w:b w:val="false"/>
          <w:i w:val="false"/>
          <w:color w:val="000000"/>
          <w:sz w:val="28"/>
        </w:rPr>
        <w:t>
      Финансирование проектов реновации жилищного фонда может осуществляться за счет средств местного бюджета и иных источников: привлечение частных инвестиций, в том числе через механизмы ГЧП, займы финансовых институтов, привлечение средств субъектов квазигосударственного сектора, в том числе за счет государственных ценных бумаг, доходы от продажи жилых и нежилых помещений в ходе реализации проекта.</w:t>
      </w:r>
    </w:p>
    <w:p>
      <w:pPr>
        <w:spacing w:after="0"/>
        <w:ind w:left="0"/>
        <w:jc w:val="both"/>
      </w:pPr>
      <w:r>
        <w:rPr>
          <w:rFonts w:ascii="Times New Roman"/>
          <w:b w:val="false"/>
          <w:i w:val="false"/>
          <w:color w:val="000000"/>
          <w:sz w:val="28"/>
        </w:rPr>
        <w:t>
      Местные исполнительные органы может осуществлять строительство жилья на площадке сноса аварийного (ветхого) жилья. При этом снос аварийных (ветхих) жилых домов производится за счет средств местного бюджета.</w:t>
      </w:r>
    </w:p>
    <w:p>
      <w:pPr>
        <w:spacing w:after="0"/>
        <w:ind w:left="0"/>
        <w:jc w:val="both"/>
      </w:pPr>
      <w:r>
        <w:rPr>
          <w:rFonts w:ascii="Times New Roman"/>
          <w:b w:val="false"/>
          <w:i w:val="false"/>
          <w:color w:val="000000"/>
          <w:sz w:val="28"/>
        </w:rPr>
        <w:t>
      Дочерняя организация АО Национальный управляющий холдинг "Байтерек" будет рассматривать совместное участие с Местные исполнительные органы в реализации проектов по реновации жилищного фонда при привлечении средств на внутренном и (или) международных рынках капитала.</w:t>
      </w:r>
    </w:p>
    <w:p>
      <w:pPr>
        <w:spacing w:after="0"/>
        <w:ind w:left="0"/>
        <w:jc w:val="both"/>
      </w:pPr>
      <w:r>
        <w:rPr>
          <w:rFonts w:ascii="Times New Roman"/>
          <w:b w:val="false"/>
          <w:i w:val="false"/>
          <w:color w:val="000000"/>
          <w:sz w:val="28"/>
        </w:rPr>
        <w:t>
      При этом в рамках облигационных займов допускается рассматривать финансирование строительства жилой части объектов со встречным обязательством реализации жилья очередникам соразмерно объему финансирования по ценовым параметрам, предусмотренным подпунктом 1) пункта 1 настоящего подраздела.</w:t>
      </w:r>
    </w:p>
    <w:p>
      <w:pPr>
        <w:spacing w:after="0"/>
        <w:ind w:left="0"/>
        <w:jc w:val="both"/>
      </w:pPr>
      <w:r>
        <w:rPr>
          <w:rFonts w:ascii="Times New Roman"/>
          <w:b w:val="false"/>
          <w:i w:val="false"/>
          <w:color w:val="000000"/>
          <w:sz w:val="28"/>
        </w:rPr>
        <w:t>
      Для обеспечения безопасных условий проживания граждан будет проводиться оценка технического состояния (паспортизации) жилищного фонда с целью выявления аварийного жилья, подлежащего сносу или капитальному ремонту.</w:t>
      </w:r>
    </w:p>
    <w:p>
      <w:pPr>
        <w:spacing w:after="0"/>
        <w:ind w:left="0"/>
        <w:jc w:val="both"/>
      </w:pPr>
      <w:r>
        <w:rPr>
          <w:rFonts w:ascii="Times New Roman"/>
          <w:b w:val="false"/>
          <w:i w:val="false"/>
          <w:color w:val="000000"/>
          <w:sz w:val="28"/>
        </w:rPr>
        <w:t>
      В результате проведения инвентаризации МЖД будут получены объективные данные по количеству домов и их техническим характеристикам, оснащенности общедомовыми приборами учета и автоматизированными системами регулирования теплопотребления.</w:t>
      </w:r>
    </w:p>
    <w:p>
      <w:pPr>
        <w:spacing w:after="0"/>
        <w:ind w:left="0"/>
        <w:jc w:val="both"/>
      </w:pPr>
      <w:r>
        <w:rPr>
          <w:rFonts w:ascii="Times New Roman"/>
          <w:b w:val="false"/>
          <w:i w:val="false"/>
          <w:color w:val="000000"/>
          <w:sz w:val="28"/>
        </w:rPr>
        <w:t>
      Будет сформирован реестр данных по каждому МЖД, прошедших паспортизацию и подлежащих капитальному ремонту. В рамках повышения энергоэффективности жилищно-коммунальной инфраструктуры будет продолжен капитальный ремонт общего имущества объекта кондоминиума с элементами термомодернизации на возвратной основе и перехода на индивидуальные приборы учета ресурсов с дистанционной передачей.</w:t>
      </w:r>
    </w:p>
    <w:p>
      <w:pPr>
        <w:spacing w:after="0"/>
        <w:ind w:left="0"/>
        <w:jc w:val="both"/>
      </w:pPr>
      <w:r>
        <w:rPr>
          <w:rFonts w:ascii="Times New Roman"/>
          <w:b w:val="false"/>
          <w:i w:val="false"/>
          <w:color w:val="000000"/>
          <w:sz w:val="28"/>
        </w:rPr>
        <w:t>
      Будет проводиться информационно-разъяснительная работа среди населения по вопросам энергосбережения и повышения энергоэффективности, что позволит сформировать у собственников квартир, нежилых помещений понимание необходимости бережного отношения к общему имуществу объекта кондоминиума и экономии энергоресурсов.</w:t>
      </w:r>
    </w:p>
    <w:p>
      <w:pPr>
        <w:spacing w:after="0"/>
        <w:ind w:left="0"/>
        <w:jc w:val="both"/>
      </w:pPr>
      <w:r>
        <w:rPr>
          <w:rFonts w:ascii="Times New Roman"/>
          <w:b w:val="false"/>
          <w:i w:val="false"/>
          <w:color w:val="000000"/>
          <w:sz w:val="28"/>
        </w:rPr>
        <w:t>
      Местные исполнительные органы в пределах компетенции будут использовать суммы средств, выплаченных жителями за капитальный ремонт общего имущества объектов кондоминиума, на ремонт других объектов кондоминиума и обеспечивать финансирование содержания уполномоченной организации, специализирующейся на ремонте жилых домов, за счет местного бюджета. Будет автоматизирован механизм назначения жилищной помощи малообеспеченным гражданам для оплаты коммунальных услуг, что ускорит получение государственной услуги.</w:t>
      </w:r>
    </w:p>
    <w:p>
      <w:pPr>
        <w:spacing w:after="0"/>
        <w:ind w:left="0"/>
        <w:jc w:val="both"/>
      </w:pPr>
      <w:r>
        <w:rPr>
          <w:rFonts w:ascii="Times New Roman"/>
          <w:b w:val="false"/>
          <w:i w:val="false"/>
          <w:color w:val="000000"/>
          <w:sz w:val="28"/>
        </w:rPr>
        <w:t>
      Местные исполнительные органы в рамках внедрения реформы в сфере ЖКХ будут обеспечивать государственное техническое обследование функционирующих МЖД и регистрацию объектов кондоминиума за счет средств местного бюджета, что позволит в целом по республике обеспечить 100% регистрацию объекта кондоминиума и создать законные предпосылки для использования собственниками квартир, нежилых помещений отдельных частей общего имущества объекта кондоминиума.</w:t>
      </w:r>
    </w:p>
    <w:p>
      <w:pPr>
        <w:spacing w:after="0"/>
        <w:ind w:left="0"/>
        <w:jc w:val="both"/>
      </w:pPr>
      <w:r>
        <w:rPr>
          <w:rFonts w:ascii="Times New Roman"/>
          <w:b w:val="false"/>
          <w:i w:val="false"/>
          <w:color w:val="000000"/>
          <w:sz w:val="28"/>
        </w:rPr>
        <w:t>
      Принцип "один дом – одно объединение собственников имущества – один счет" предусматривает индивидуальный подход по управлению каждым домом и обеспечивает прозрачность за расходованием средств на содержание объекта кондоминиума.</w:t>
      </w:r>
    </w:p>
    <w:p>
      <w:pPr>
        <w:spacing w:after="0"/>
        <w:ind w:left="0"/>
        <w:jc w:val="both"/>
      </w:pPr>
      <w:r>
        <w:rPr>
          <w:rFonts w:ascii="Times New Roman"/>
          <w:b w:val="false"/>
          <w:i w:val="false"/>
          <w:color w:val="000000"/>
          <w:sz w:val="28"/>
        </w:rPr>
        <w:t>
      В целях повышения качества обслуживания сервисными организациями и улучшения условий проживания граждан будут приняты меры по совершенствованию жилищного законодательства в части вопросов управления и содержания общего имущества объекта кондоминиума многоквартирных жилых домов.</w:t>
      </w:r>
    </w:p>
    <w:bookmarkStart w:name="z11" w:id="9"/>
    <w:p>
      <w:pPr>
        <w:spacing w:after="0"/>
        <w:ind w:left="0"/>
        <w:jc w:val="left"/>
      </w:pPr>
      <w:r>
        <w:rPr>
          <w:rFonts w:ascii="Times New Roman"/>
          <w:b/>
          <w:i w:val="false"/>
          <w:color w:val="000000"/>
        </w:rPr>
        <w:t xml:space="preserve"> 2. Задача программы реновации жилищного фонда в Толебийском районе</w:t>
      </w:r>
    </w:p>
    <w:bookmarkEnd w:id="9"/>
    <w:bookmarkStart w:name="z12" w:id="10"/>
    <w:p>
      <w:pPr>
        <w:spacing w:after="0"/>
        <w:ind w:left="0"/>
        <w:jc w:val="both"/>
      </w:pPr>
      <w:r>
        <w:rPr>
          <w:rFonts w:ascii="Times New Roman"/>
          <w:b w:val="false"/>
          <w:i w:val="false"/>
          <w:color w:val="000000"/>
          <w:sz w:val="28"/>
        </w:rPr>
        <w:t>
      2.1 Основной задачей программы реновации является недопущение массового появления аварийного жилищного фонда в Толебийском районе и одновременно коррекция накопленного за прошедшие десятилетия дисбаланса городского развития и формирование принципиально новой городской среды.</w:t>
      </w:r>
    </w:p>
    <w:bookmarkEnd w:id="10"/>
    <w:p>
      <w:pPr>
        <w:spacing w:after="0"/>
        <w:ind w:left="0"/>
        <w:jc w:val="both"/>
      </w:pPr>
      <w:r>
        <w:rPr>
          <w:rFonts w:ascii="Times New Roman"/>
          <w:b w:val="false"/>
          <w:i w:val="false"/>
          <w:color w:val="000000"/>
          <w:sz w:val="28"/>
        </w:rPr>
        <w:t>
      Реализация Программы реновации, предусматривающей качественное обновление жилищного фонда, позволит улучшить показатель обеспеченности жильем граждан и будет способствовать устойчивому развитию жилых территорий, созданию благоприятной среды жизнедеятельности, общественных пространств и благоустройству территории с учетом экономических, социальных, иных общественных интересов, позволит сформировать новый, современный облик Толебийскому району.</w:t>
      </w:r>
    </w:p>
    <w:bookmarkStart w:name="z13" w:id="11"/>
    <w:p>
      <w:pPr>
        <w:spacing w:after="0"/>
        <w:ind w:left="0"/>
        <w:jc w:val="both"/>
      </w:pPr>
      <w:r>
        <w:rPr>
          <w:rFonts w:ascii="Times New Roman"/>
          <w:b w:val="false"/>
          <w:i w:val="false"/>
          <w:color w:val="000000"/>
          <w:sz w:val="28"/>
        </w:rPr>
        <w:t>
      2.2 При реализации Программы реновации планируется решение следующих задач:</w:t>
      </w:r>
    </w:p>
    <w:bookmarkEnd w:id="11"/>
    <w:p>
      <w:pPr>
        <w:spacing w:after="0"/>
        <w:ind w:left="0"/>
        <w:jc w:val="both"/>
      </w:pPr>
      <w:r>
        <w:rPr>
          <w:rFonts w:ascii="Times New Roman"/>
          <w:b w:val="false"/>
          <w:i w:val="false"/>
          <w:color w:val="000000"/>
          <w:sz w:val="28"/>
        </w:rPr>
        <w:t>
      1) создание новой планировочной структуры городской среды со смешанной функцией, приспособленной для комфортного проживания, отдыха и работы;</w:t>
      </w:r>
    </w:p>
    <w:p>
      <w:pPr>
        <w:spacing w:after="0"/>
        <w:ind w:left="0"/>
        <w:jc w:val="both"/>
      </w:pPr>
      <w:r>
        <w:rPr>
          <w:rFonts w:ascii="Times New Roman"/>
          <w:b w:val="false"/>
          <w:i w:val="false"/>
          <w:color w:val="000000"/>
          <w:sz w:val="28"/>
        </w:rPr>
        <w:t>
      2) строительство энергоэффективных многоквартирных жилых домов, снижение затрат на их эксплуатацию;</w:t>
      </w:r>
    </w:p>
    <w:p>
      <w:pPr>
        <w:spacing w:after="0"/>
        <w:ind w:left="0"/>
        <w:jc w:val="both"/>
      </w:pPr>
      <w:r>
        <w:rPr>
          <w:rFonts w:ascii="Times New Roman"/>
          <w:b w:val="false"/>
          <w:i w:val="false"/>
          <w:color w:val="000000"/>
          <w:sz w:val="28"/>
        </w:rPr>
        <w:t>
      3) улучшение экологической обстановки;</w:t>
      </w:r>
    </w:p>
    <w:p>
      <w:pPr>
        <w:spacing w:after="0"/>
        <w:ind w:left="0"/>
        <w:jc w:val="both"/>
      </w:pPr>
      <w:r>
        <w:rPr>
          <w:rFonts w:ascii="Times New Roman"/>
          <w:b w:val="false"/>
          <w:i w:val="false"/>
          <w:color w:val="000000"/>
          <w:sz w:val="28"/>
        </w:rPr>
        <w:t>
      4) обновление и модернизация инженерной инфраструктуры;</w:t>
      </w:r>
    </w:p>
    <w:p>
      <w:pPr>
        <w:spacing w:after="0"/>
        <w:ind w:left="0"/>
        <w:jc w:val="both"/>
      </w:pPr>
      <w:r>
        <w:rPr>
          <w:rFonts w:ascii="Times New Roman"/>
          <w:b w:val="false"/>
          <w:i w:val="false"/>
          <w:color w:val="000000"/>
          <w:sz w:val="28"/>
        </w:rPr>
        <w:t>
      5) формирование современного архитектурного облика Толебийского района.</w:t>
      </w:r>
    </w:p>
    <w:bookmarkStart w:name="z14" w:id="12"/>
    <w:p>
      <w:pPr>
        <w:spacing w:after="0"/>
        <w:ind w:left="0"/>
        <w:jc w:val="left"/>
      </w:pPr>
      <w:r>
        <w:rPr>
          <w:rFonts w:ascii="Times New Roman"/>
          <w:b/>
          <w:i w:val="false"/>
          <w:color w:val="000000"/>
        </w:rPr>
        <w:t xml:space="preserve"> 3. Механизм и порядок реализации Программы реновации жилищного фонда в Толебийском районе</w:t>
      </w:r>
    </w:p>
    <w:bookmarkEnd w:id="12"/>
    <w:bookmarkStart w:name="z15" w:id="13"/>
    <w:p>
      <w:pPr>
        <w:spacing w:after="0"/>
        <w:ind w:left="0"/>
        <w:jc w:val="both"/>
      </w:pPr>
      <w:r>
        <w:rPr>
          <w:rFonts w:ascii="Times New Roman"/>
          <w:b w:val="false"/>
          <w:i w:val="false"/>
          <w:color w:val="000000"/>
          <w:sz w:val="28"/>
        </w:rPr>
        <w:t>
      3.1 Финансирование Программы реновации жилищного фонда может осуществляться за счет местного и местного бюджета и иных источников:</w:t>
      </w:r>
    </w:p>
    <w:bookmarkEnd w:id="13"/>
    <w:p>
      <w:pPr>
        <w:spacing w:after="0"/>
        <w:ind w:left="0"/>
        <w:jc w:val="both"/>
      </w:pPr>
      <w:r>
        <w:rPr>
          <w:rFonts w:ascii="Times New Roman"/>
          <w:b w:val="false"/>
          <w:i w:val="false"/>
          <w:color w:val="000000"/>
          <w:sz w:val="28"/>
        </w:rPr>
        <w:t>
      1) привлечение частных инвестиций, в том числе через механизмы государственно-частного партнерства;</w:t>
      </w:r>
    </w:p>
    <w:p>
      <w:pPr>
        <w:spacing w:after="0"/>
        <w:ind w:left="0"/>
        <w:jc w:val="both"/>
      </w:pPr>
      <w:r>
        <w:rPr>
          <w:rFonts w:ascii="Times New Roman"/>
          <w:b w:val="false"/>
          <w:i w:val="false"/>
          <w:color w:val="000000"/>
          <w:sz w:val="28"/>
        </w:rPr>
        <w:t>
      2) займы банков второго уровня;</w:t>
      </w:r>
    </w:p>
    <w:p>
      <w:pPr>
        <w:spacing w:after="0"/>
        <w:ind w:left="0"/>
        <w:jc w:val="both"/>
      </w:pPr>
      <w:r>
        <w:rPr>
          <w:rFonts w:ascii="Times New Roman"/>
          <w:b w:val="false"/>
          <w:i w:val="false"/>
          <w:color w:val="000000"/>
          <w:sz w:val="28"/>
        </w:rPr>
        <w:t>
      3) привлечение средств субъектов квазигосударственного сектора;</w:t>
      </w:r>
    </w:p>
    <w:p>
      <w:pPr>
        <w:spacing w:after="0"/>
        <w:ind w:left="0"/>
        <w:jc w:val="both"/>
      </w:pPr>
      <w:r>
        <w:rPr>
          <w:rFonts w:ascii="Times New Roman"/>
          <w:b w:val="false"/>
          <w:i w:val="false"/>
          <w:color w:val="000000"/>
          <w:sz w:val="28"/>
        </w:rPr>
        <w:t>
      4) доходов от продажи жилых и нежилых помещений в ходе реализации проектов по Программе реновации.</w:t>
      </w:r>
    </w:p>
    <w:bookmarkStart w:name="z16" w:id="14"/>
    <w:p>
      <w:pPr>
        <w:spacing w:after="0"/>
        <w:ind w:left="0"/>
        <w:jc w:val="both"/>
      </w:pPr>
      <w:r>
        <w:rPr>
          <w:rFonts w:ascii="Times New Roman"/>
          <w:b w:val="false"/>
          <w:i w:val="false"/>
          <w:color w:val="000000"/>
          <w:sz w:val="28"/>
        </w:rPr>
        <w:t>
      3.2 До принятия решения о финансировании осуществляется сбор информации по каждому жилому дому, подлежащему реновации.</w:t>
      </w:r>
    </w:p>
    <w:bookmarkEnd w:id="14"/>
    <w:bookmarkStart w:name="z17" w:id="15"/>
    <w:p>
      <w:pPr>
        <w:spacing w:after="0"/>
        <w:ind w:left="0"/>
        <w:jc w:val="both"/>
      </w:pPr>
      <w:r>
        <w:rPr>
          <w:rFonts w:ascii="Times New Roman"/>
          <w:b w:val="false"/>
          <w:i w:val="false"/>
          <w:color w:val="000000"/>
          <w:sz w:val="28"/>
        </w:rPr>
        <w:t>
      3.3 Структурные подразделения местного исполнительного органа, территориальные подразделения центральных органов и НАО "Правительство для граждан" обязаны в течение 15 рабочих дней предоставить на основании запроса необходимую информацию, в том числе, но не ограничиваясь этим:</w:t>
      </w:r>
    </w:p>
    <w:bookmarkEnd w:id="15"/>
    <w:p>
      <w:pPr>
        <w:spacing w:after="0"/>
        <w:ind w:left="0"/>
        <w:jc w:val="both"/>
      </w:pPr>
      <w:r>
        <w:rPr>
          <w:rFonts w:ascii="Times New Roman"/>
          <w:b w:val="false"/>
          <w:i w:val="false"/>
          <w:color w:val="000000"/>
          <w:sz w:val="28"/>
        </w:rPr>
        <w:t>
      1) о технических характеристиках многоквартирного жилого дома (общая площадь дома (квартир) и земельного участка, количество жильцов, наличии (отсутствии) обременений (арестов) (территориальные органы НАО "Правительство для граждан");</w:t>
      </w:r>
    </w:p>
    <w:p>
      <w:pPr>
        <w:spacing w:after="0"/>
        <w:ind w:left="0"/>
        <w:jc w:val="both"/>
      </w:pPr>
      <w:r>
        <w:rPr>
          <w:rFonts w:ascii="Times New Roman"/>
          <w:b w:val="false"/>
          <w:i w:val="false"/>
          <w:color w:val="000000"/>
          <w:sz w:val="28"/>
        </w:rPr>
        <w:t>
      2) выписку из земельного кадастра с прилегающими земельными участками, необходимую для благоустройства нового жилого дома (государственное учреждение "Отдел земельных отношений Толебийского района", государственное учреждение "Отдел строительства, архитектуры и градостроительства Толебийского района");</w:t>
      </w:r>
    </w:p>
    <w:bookmarkStart w:name="z18" w:id="16"/>
    <w:p>
      <w:pPr>
        <w:spacing w:after="0"/>
        <w:ind w:left="0"/>
        <w:jc w:val="both"/>
      </w:pPr>
      <w:r>
        <w:rPr>
          <w:rFonts w:ascii="Times New Roman"/>
          <w:b w:val="false"/>
          <w:i w:val="false"/>
          <w:color w:val="000000"/>
          <w:sz w:val="28"/>
        </w:rPr>
        <w:t>
      3.4 После получения необходимой информации Администратором Программы реновации подготавливается информационный документ на каждый жилой дом, подлежащий реновации.</w:t>
      </w:r>
    </w:p>
    <w:bookmarkEnd w:id="16"/>
    <w:p>
      <w:pPr>
        <w:spacing w:after="0"/>
        <w:ind w:left="0"/>
        <w:jc w:val="both"/>
      </w:pPr>
      <w:r>
        <w:rPr>
          <w:rFonts w:ascii="Times New Roman"/>
          <w:b w:val="false"/>
          <w:i w:val="false"/>
          <w:color w:val="000000"/>
          <w:sz w:val="28"/>
        </w:rPr>
        <w:t>
      Администратор Программы реновации размещает сформированное досье в открытом доступе на согласованном с местным исполнительным органом интернет-ресурсе.</w:t>
      </w:r>
    </w:p>
    <w:bookmarkStart w:name="z19" w:id="17"/>
    <w:p>
      <w:pPr>
        <w:spacing w:after="0"/>
        <w:ind w:left="0"/>
        <w:jc w:val="both"/>
      </w:pPr>
      <w:r>
        <w:rPr>
          <w:rFonts w:ascii="Times New Roman"/>
          <w:b w:val="false"/>
          <w:i w:val="false"/>
          <w:color w:val="000000"/>
          <w:sz w:val="28"/>
        </w:rPr>
        <w:t>
      3.5 Привлечение частных инвестиций является приоритетной задачей Администратора Программы реновации и других ответственных структур местного исполнительного органа.</w:t>
      </w:r>
    </w:p>
    <w:bookmarkEnd w:id="17"/>
    <w:bookmarkStart w:name="z20" w:id="18"/>
    <w:p>
      <w:pPr>
        <w:spacing w:after="0"/>
        <w:ind w:left="0"/>
        <w:jc w:val="both"/>
      </w:pPr>
      <w:r>
        <w:rPr>
          <w:rFonts w:ascii="Times New Roman"/>
          <w:b w:val="false"/>
          <w:i w:val="false"/>
          <w:color w:val="000000"/>
          <w:sz w:val="28"/>
        </w:rPr>
        <w:t>
      3.6 Для привлечения потенциальных инвесторов информация, размещенная на интернет-ресурсе уполномоченной организации должна на постоянной основе освещаться в средствах массовой информации и в других доступных средствах информирования.</w:t>
      </w:r>
    </w:p>
    <w:bookmarkEnd w:id="18"/>
    <w:bookmarkStart w:name="z21" w:id="19"/>
    <w:p>
      <w:pPr>
        <w:spacing w:after="0"/>
        <w:ind w:left="0"/>
        <w:jc w:val="both"/>
      </w:pPr>
      <w:r>
        <w:rPr>
          <w:rFonts w:ascii="Times New Roman"/>
          <w:b w:val="false"/>
          <w:i w:val="false"/>
          <w:color w:val="000000"/>
          <w:sz w:val="28"/>
        </w:rPr>
        <w:t>
      3.7 Потенциальный инвестор помимо информации, размещенной на интернет-ресурсе имеет право письменно запросить дополнительную необходимую информацию по объекту. В таком случае, Администратор Программы реновации или уполномоченная организация запрашивает необходимую информацию у ответственных лиц, территориальных подразделений центральных органов и НАО "Правительство для граждан", которые обязаны предоставить информацию в течение 15 рабочих дней с момента поступления письменного запроса.</w:t>
      </w:r>
    </w:p>
    <w:bookmarkEnd w:id="19"/>
    <w:bookmarkStart w:name="z22" w:id="20"/>
    <w:p>
      <w:pPr>
        <w:spacing w:after="0"/>
        <w:ind w:left="0"/>
        <w:jc w:val="left"/>
      </w:pPr>
      <w:r>
        <w:rPr>
          <w:rFonts w:ascii="Times New Roman"/>
          <w:b/>
          <w:i w:val="false"/>
          <w:color w:val="000000"/>
        </w:rPr>
        <w:t xml:space="preserve"> 4. Гарантии жилищных и имущественных прав физических и юридических лиц при реализации Программы реновации жилищного фонда</w:t>
      </w:r>
    </w:p>
    <w:bookmarkEnd w:id="20"/>
    <w:bookmarkStart w:name="z23" w:id="21"/>
    <w:p>
      <w:pPr>
        <w:spacing w:after="0"/>
        <w:ind w:left="0"/>
        <w:jc w:val="both"/>
      </w:pPr>
      <w:r>
        <w:rPr>
          <w:rFonts w:ascii="Times New Roman"/>
          <w:b w:val="false"/>
          <w:i w:val="false"/>
          <w:color w:val="000000"/>
          <w:sz w:val="28"/>
        </w:rPr>
        <w:t>
      4.1 Всем собственникам квартир и нежилых помещений в жилых домах, включенных в Программу реновации, будут предоставляться равнозначные жилые и нежилые помещения на безвозмездной основе, одновременно соответствующие следующим требованиям:</w:t>
      </w:r>
    </w:p>
    <w:bookmarkEnd w:id="21"/>
    <w:p>
      <w:pPr>
        <w:spacing w:after="0"/>
        <w:ind w:left="0"/>
        <w:jc w:val="both"/>
      </w:pPr>
      <w:r>
        <w:rPr>
          <w:rFonts w:ascii="Times New Roman"/>
          <w:b w:val="false"/>
          <w:i w:val="false"/>
          <w:color w:val="000000"/>
          <w:sz w:val="28"/>
        </w:rPr>
        <w:t>
      1) общая площадь и количество комнат в таком жилом помещении (нежилом помещении) не меньше общей площади и количества комнат в освобождаемом жилом помещении (нежилом помещении), соответствующее действующим нормам жилищного законодательства Республики Казахстан;</w:t>
      </w:r>
    </w:p>
    <w:bookmarkStart w:name="z24" w:id="22"/>
    <w:p>
      <w:pPr>
        <w:spacing w:after="0"/>
        <w:ind w:left="0"/>
        <w:jc w:val="both"/>
      </w:pPr>
      <w:r>
        <w:rPr>
          <w:rFonts w:ascii="Times New Roman"/>
          <w:b w:val="false"/>
          <w:i w:val="false"/>
          <w:color w:val="000000"/>
          <w:sz w:val="28"/>
        </w:rPr>
        <w:t>
      4.2 Вместо равнозначного помещения собственник помещения в многоквартирном доме, включенном в Программу реновации, вправе получить равноценное возмещение в денежной форме. При этом размер равноценного возмещения определяется в соответствии с действующим законодательством Республики Казахстан.</w:t>
      </w:r>
    </w:p>
    <w:bookmarkEnd w:id="22"/>
    <w:bookmarkStart w:name="z25" w:id="23"/>
    <w:p>
      <w:pPr>
        <w:spacing w:after="0"/>
        <w:ind w:left="0"/>
        <w:jc w:val="both"/>
      </w:pPr>
      <w:r>
        <w:rPr>
          <w:rFonts w:ascii="Times New Roman"/>
          <w:b w:val="false"/>
          <w:i w:val="false"/>
          <w:color w:val="000000"/>
          <w:sz w:val="28"/>
        </w:rPr>
        <w:t>
      4.3 При реализации Программы реновации должно быть обеспечено создание комфортной среды проживания граждан, в том числе путем установления дополнительных требований к благоустройству территории, формированию улично-дорожной сети, парковочного пространства, тротуаров, при фасадной зоны, организации дворовых и внутриквартальных озелененных территорий.</w:t>
      </w:r>
    </w:p>
    <w:bookmarkEnd w:id="23"/>
    <w:bookmarkStart w:name="z26" w:id="24"/>
    <w:p>
      <w:pPr>
        <w:spacing w:after="0"/>
        <w:ind w:left="0"/>
        <w:jc w:val="left"/>
      </w:pPr>
      <w:r>
        <w:rPr>
          <w:rFonts w:ascii="Times New Roman"/>
          <w:b/>
          <w:i w:val="false"/>
          <w:color w:val="000000"/>
        </w:rPr>
        <w:t xml:space="preserve"> Действующие проекты реновации, реализуемые уполномоченной организацией и инвесторами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Снос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дамов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квартир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квартир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дамов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квартир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квартир м2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 қаласы Базарная №66,68, 70,72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 қаласы Қ.Дүйсемуратұлы №77,79,81,83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Бірінші-Мамыр е.м Д.Умбеталиев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Бірінші-Мамыр е.м Д.Умбеталиев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 е.м. Төлеби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 е.м. Төлеби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 е.м. Төлеби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 е.м. Қошанбаев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 е.м. Қошанбаев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