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b215" w14:textId="c05b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Келесскому району</w:t>
      </w:r>
    </w:p>
    <w:p>
      <w:pPr>
        <w:spacing w:after="0"/>
        <w:ind w:left="0"/>
        <w:jc w:val="both"/>
      </w:pPr>
      <w:r>
        <w:rPr>
          <w:rFonts w:ascii="Times New Roman"/>
          <w:b w:val="false"/>
          <w:i w:val="false"/>
          <w:color w:val="000000"/>
          <w:sz w:val="28"/>
        </w:rPr>
        <w:t>Постановление акимата Келесского района Туркестанской области от 5 сентября 2022 года № 253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Келесскому району к настоящему постановлению. </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Келесского района С.Каракулова.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 района</w:t>
            </w:r>
            <w:r>
              <w:br/>
            </w:r>
            <w:r>
              <w:rPr>
                <w:rFonts w:ascii="Times New Roman"/>
                <w:b w:val="false"/>
                <w:i w:val="false"/>
                <w:color w:val="000000"/>
                <w:sz w:val="20"/>
              </w:rPr>
              <w:t>от "05" сентября 2022 года № 253</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по Келесскому району</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Келесскому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безопасные для его жизни и здоровья, не причиняющие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