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3ded" w14:textId="fba3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Долонскому сельскому округу Бескарагайского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25 декабря 2021 года № 16/6-VII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Долонскому сельскому округу Бескарагайского района на 2022-2023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16/6-VІI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 по Долонскому сельскому округу  Бескарагайского района на 2022-2023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Долонскому сельскому округу Бескарагайского района на 2022-2023 годы (далее - План)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за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за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схема (карта) расположения пастбищ на территории Долонского сельского округа Бескарагайского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карта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 5</w:t>
      </w:r>
      <w:r>
        <w:rPr>
          <w:rFonts w:ascii="Times New Roman"/>
          <w:b w:val="false"/>
          <w:i w:val="false"/>
          <w:color w:val="000000"/>
          <w:sz w:val="28"/>
        </w:rPr>
        <w:t> 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Долонский сельский округ расположен в южной части Бескарагайского района в сухостепной зоне, характеризующейся резко континентальным климатом. Зима суровая. Лето сухое, жаркое.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Среднегодовое количество осадков составляет 220-280 мм, при этом наибольшее их количество приходится на летние месяцы.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Преобладают юго-восточные ветры, со среднегодовой скоростью 2,7 м/сек.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в основном представлен почвами каштановой подзоны.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Характерной чертой почвенного покрова является значительное распространение почв "легкого" механического состава (супесчаных и песчаных).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представлен, в основном, полынно-ковыльно-типчаковыми ассоциациями. Кроме ее доминантов, в травостое в небольшом количестве участвуют зопник, подмаренник, качим, тонконог, волоснец гигантский и другие растения.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Гидрографию представляет река Иртыш, разделяющая округ на две части. Вода пригодна для водопоя скота. Также водопой осуществляется из трубчатых колодцев.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административно-территориальному делению в Долонском сельском округе имеются 4 сельских населенных пунктов (Долонь, Бодене, Мостик, Черемушка). Административный центр село Долонь находится в 29,0 км южнее районного центра села Бескарагай.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сельского округа 199120 га, из них пастбищные земли – 102532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категориям земли подразделяются: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сельскохозяйственного назначения – 77890 га, в том числе пастбище -73847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населенных пунктов – 28098 га, в том числе пастбище -27236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земли запаса составляют 19096 га, в том числе пастбище 1449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Долонском сельском округе поголовье сельскохозяйственных животных составляет: крупного рогатого скота 6206 голова, из них маточное поголовье местного населения 1082 головы, мелкого рогатого скота 6286 голов, лошадей 2587 головы (таблица № 1).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дойная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Бодене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в округе организовано: ветеринарный пункт – 1, скотомогильник –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Скотопрогонов на территории сельского округа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Долонскому сельскому округу имеются всего 102532 га пастбищных угодий, в черте населенных пунктов числится 27236 гектар пастбищ. Из всех пастбищ в черте населенных пунктов, в пользовании сельскохозяйственных формирований находится 2304 га, для выпаса скота населения имеется 24932 га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Долонского сельского округа по содержанию маточного (дойного) поголовья сельскохозяйственных животных, при имеющихся пастбищных угодьях вблизи населенного пункта в размере 24932 га, потребность составляет 8550 га (таблица № 2), что позволяет выпасать другие виды животных на площади 16382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в пастбищных угодьях по выпасу других сельскохозяйственных животных местного населения в размере 18744 гектар, при норме нагрузки на голову КРС – 7,5 га/гол., МРС – 1,5 га/гол., лошадей – 9 га/гол (таблица № 3). Имеется в составе земель населенных пунктов, кроме пастбищ для выпаса дойных коров 16382 га. Дополнительная потребность в пастбищах составляет 2362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пастбищных угодьях в размере 2362 гектар необходимо восполнить за счет перевода части поголовья на стойловое содержание, выпаса сельскохозяйственных животных населения на землях запаса на территории сельского округа, неиспользуемых земель сельхозформирований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Поголовье скота в сельскохозяйственных формированиях Долонского сельского округа составляет: крупный рогатый скот 4101 голова, мелкий рогатый скот 3043 голов, лошади 1849 головы. Потребность в пастбищах составляет 51963 га (таблица № 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закрепленных за крестьянскими и фермерскими хозяйствами сельского округа составляет 73847 га (таблица №5). Сложившаяся потребность в пастбищных угодьях крестьянских и фермерских хозяйств 51963 га. Излишние пастбища на площади 21884 га возможно использовать для выпаса скота населения сельского округа и других сельских округов, в соответствии с действующим законодательством.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сельскохозяйственных организаций на территории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ФИО руководителя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сх угодий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"Агайын"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Батталова 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Кусманов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"Акан Ата"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"Алмас"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Д.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Айтчанов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"Балажал" Саринов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"Береке-3"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Закетаева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"Гульшат"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Кусманова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"Гулдер" Касимов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 Мусин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"Даулет" Ахметов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"Даурен Утуленов 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"Динара" Нурсултанова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"Достар"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Беильханов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"Жана-Куш" Базарбаев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"Жанибек"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Азимбаев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"Жанажол" Жакупбаев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Талап" Байуаков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"Зере"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Кулжапарова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"Бобек" Смаканов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"Ертаргын" Молдабаев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"Кайсар"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Кошкарбаев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"Канагат-1" Жанабалинов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Кудранова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"Коль" Мусинов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Адельбаева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"Мадина"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Байуакова Д.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"Медияр" Ныгметжанов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"Назарек" Искаков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Никульшин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Шарманова 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"Рахим" Рахимов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Анаев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"Сайран" Касенов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"Сулейменулы" Егежанов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"Токен" Касенов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"Турсынханов" Турсынханов Ж.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Шарманов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"Эльмира" Абишев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Казизов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Самырат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Токтаубек Ш.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Кабдеш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Бадерхан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Негізхан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 Ж.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Токтаубек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Жакупбаев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"Алихан" Казизова А.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Сабидолла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Зацепин П.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"Болашак" Сейтенов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Тагаев Ж.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Алдашев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Кусман Д.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Р.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Джандыбаев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Зиынбай Қ.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Байшын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Мейрембаева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Құмарғазы 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Қалихан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Газизов З.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Бақытнұр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"Еркебулан"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Г.Н.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Айтышев 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Саханов 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Инербаев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Жұматай Х.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Исин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"Иса" Исин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кх и фх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 лица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 Болашак"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"Урожай-1"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"Карибай Агро"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юр. лицам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округу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Долонском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Долонского сельского округа  Бескарагайского районав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запаса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Долонском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691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Долонском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с обозначением внешних и внутренних границ и площадей пастбищ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Долонском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Долонском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Долонском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отгонных пастбищ за пределами сельского округа не предполагается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Долонском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Долонский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сентября-3 декада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сентября-3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