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1a2d" w14:textId="12f1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декабря 2022 года № 29/3-VII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7090191,4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3537481,4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- 11376,6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- 3534635,4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- 7801168,6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137524,1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- 181125,0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- 848501,3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848501,3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- 181125,0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- 710977,2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2023 год в сумме 1678032,0 тысяч тенге, на 2024 год в сумме 866115,0 тысяч тенге, на 2025 год в сумме 675204,0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местного самоуправления в сумме 469242,0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Курчумскому сельскому округу - 62450,0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- 47420,0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– 40323,0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- 32998,0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Бурановскому сельскому округу - 37478,0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Калгутинскому сельскому округу - 36110,0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- 38296,0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Маралдинскому сельскому округу - 44282,0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- 39949,0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Акбулакскому сельскому округу - 27312,0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Балыкшинскому сельскому округу - 34516,0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Тоскаинскому сельскому округу - 28108,0 тысяч тенге.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исполнению на 2023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2022 года № 21/192-VI "Об областном бюджете на 2023-2025 годы".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50511,0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из районного бюджета бюджетам местного самоуправления на 2023 год определяется постановлением акимата Курчумского района Восточно-Казахстанской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2023 год целевые текущие трансферты из областного бюджета в сумме 692522,0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целевые трансферты на развитие из республиканского бюджета в сумме 996914,0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2023 год кредиты из республиканского бюджета на реализацию мер социальной поддержки специалистов в сумме 181125,0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специалистами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