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e610" w14:textId="124e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Жангалинском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Жангалинского района Западно-Казахстанской области от 13 октября 2022 года № 196</w:t>
      </w:r>
    </w:p>
    <w:p>
      <w:pPr>
        <w:spacing w:after="0"/>
        <w:ind w:left="0"/>
        <w:jc w:val="both"/>
      </w:pPr>
      <w:bookmarkStart w:name="z3" w:id="0"/>
      <w:r>
        <w:rPr>
          <w:rFonts w:ascii="Times New Roman"/>
          <w:b w:val="false"/>
          <w:i w:val="false"/>
          <w:color w:val="000000"/>
          <w:sz w:val="28"/>
        </w:rPr>
        <w:t>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№20542), акимат Жангалинского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Жангалинском районе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Жангалинского раойна"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w:t>
      </w:r>
    </w:p>
    <w:bookmarkEnd w:id="3"/>
    <w:bookmarkStart w:name="z7" w:id="4"/>
    <w:p>
      <w:pPr>
        <w:spacing w:after="0"/>
        <w:ind w:left="0"/>
        <w:jc w:val="both"/>
      </w:pPr>
      <w:r>
        <w:rPr>
          <w:rFonts w:ascii="Times New Roman"/>
          <w:b w:val="false"/>
          <w:i w:val="false"/>
          <w:color w:val="000000"/>
          <w:sz w:val="28"/>
        </w:rPr>
        <w:t>
      2) размещение на официальном интернет-ресурсе аппарата акима Жангалинского района.</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13 октября 2022 года №196</w:t>
            </w:r>
          </w:p>
        </w:tc>
      </w:tr>
    </w:tbl>
    <w:bookmarkStart w:name="z12" w:id="7"/>
    <w:p>
      <w:pPr>
        <w:spacing w:after="0"/>
        <w:ind w:left="0"/>
        <w:jc w:val="left"/>
      </w:pPr>
      <w:r>
        <w:rPr>
          <w:rFonts w:ascii="Times New Roman"/>
          <w:b/>
          <w:i w:val="false"/>
          <w:color w:val="000000"/>
        </w:rPr>
        <w:t xml:space="preserve"> Правила предоставления коммунальных услуг в Жангалинском районе</w:t>
      </w:r>
      <w:r>
        <w:br/>
      </w:r>
      <w:r>
        <w:rPr>
          <w:rFonts w:ascii="Times New Roman"/>
          <w:b/>
          <w:i w:val="false"/>
          <w:color w:val="000000"/>
        </w:rPr>
        <w:t>Западно-Казахстанской области</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Жангалинском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9"/>
    <w:bookmarkStart w:name="z15"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16"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17"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18"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19"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0"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1" w:id="16"/>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6"/>
    <w:bookmarkStart w:name="z22" w:id="17"/>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7"/>
    <w:bookmarkStart w:name="z23" w:id="18"/>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bookmarkEnd w:id="18"/>
    <w:bookmarkStart w:name="z24" w:id="19"/>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9"/>
    <w:bookmarkStart w:name="z25" w:id="20"/>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bookmarkEnd w:id="20"/>
    <w:bookmarkStart w:name="z26" w:id="21"/>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27" w:id="22"/>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28" w:id="23"/>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29" w:id="24"/>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1" w:id="26"/>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3" w:id="28"/>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8"/>
    <w:bookmarkStart w:name="z34"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5"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6"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37"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38"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3"/>
    <w:bookmarkStart w:name="z39" w:id="34"/>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0" w:id="35"/>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5"/>
    <w:bookmarkStart w:name="z41"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6"/>
    <w:bookmarkStart w:name="z42"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3"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4"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5"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40"/>
    <w:bookmarkStart w:name="z46" w:id="4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47"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48" w:id="43"/>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3"/>
    <w:bookmarkStart w:name="z49" w:id="44"/>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0"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1"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2"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3"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4"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5"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6"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57"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58"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59"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4"/>
    <w:bookmarkStart w:name="z60"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1"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2"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3"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4"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5"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6"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67"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68"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69"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0"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1"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2" w:id="6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7"/>
    <w:bookmarkStart w:name="z73" w:id="68"/>
    <w:p>
      <w:pPr>
        <w:spacing w:after="0"/>
        <w:ind w:left="0"/>
        <w:jc w:val="both"/>
      </w:pPr>
      <w:r>
        <w:rPr>
          <w:rFonts w:ascii="Times New Roman"/>
          <w:b w:val="false"/>
          <w:i w:val="false"/>
          <w:color w:val="000000"/>
          <w:sz w:val="28"/>
        </w:rPr>
        <w:t>
      20. Потребитель:</w:t>
      </w:r>
    </w:p>
    <w:bookmarkEnd w:id="68"/>
    <w:bookmarkStart w:name="z74"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5"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6"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77"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78"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79"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0"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1"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2" w:id="77"/>
    <w:p>
      <w:pPr>
        <w:spacing w:after="0"/>
        <w:ind w:left="0"/>
        <w:jc w:val="both"/>
      </w:pPr>
      <w:r>
        <w:rPr>
          <w:rFonts w:ascii="Times New Roman"/>
          <w:b w:val="false"/>
          <w:i w:val="false"/>
          <w:color w:val="000000"/>
          <w:sz w:val="28"/>
        </w:rPr>
        <w:t>
      21. Поставщик:</w:t>
      </w:r>
    </w:p>
    <w:bookmarkEnd w:id="77"/>
    <w:bookmarkStart w:name="z83"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4"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5"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6"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87"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88"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3"/>
    <w:bookmarkStart w:name="z89"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0"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1"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2"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3"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4"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5"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6"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97"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98" w:id="93"/>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99"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0"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1"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2"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3"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4"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5"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6"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07"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08"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103"/>
    <w:bookmarkStart w:name="z109"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0"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1"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2"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3"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4" w:id="109"/>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bookmarkEnd w:id="109"/>
    <w:bookmarkStart w:name="z115"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16"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17"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12"/>
    <w:bookmarkStart w:name="z118"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19" w:id="114"/>
    <w:p>
      <w:pPr>
        <w:spacing w:after="0"/>
        <w:ind w:left="0"/>
        <w:jc w:val="left"/>
      </w:pPr>
      <w:r>
        <w:rPr>
          <w:rFonts w:ascii="Times New Roman"/>
          <w:b/>
          <w:i w:val="false"/>
          <w:color w:val="000000"/>
        </w:rPr>
        <w:t xml:space="preserve"> Глава 6. Заключительные положения</w:t>
      </w:r>
    </w:p>
    <w:bookmarkEnd w:id="114"/>
    <w:bookmarkStart w:name="z120" w:id="115"/>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5"/>
    <w:bookmarkStart w:name="z121" w:id="116"/>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