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cf4" w14:textId="eb40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24 декабря 2015 года № 733 "Об утверждении Положения о местных органах военного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сентября 2023 года № 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декабря 2015 года № 733 "Об утверждении Положения о местных органах военного управления Республики Казахстан" (зарегистрирован в Реестре государственной регистрации нормативных правовых актов под № 13436)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местных органах военного управления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"Исходя из площади территории, численности населения и объема мобилизационных ресурсов, в соответствии с Перечнем республиканских государственных учреждений, находящихся в ведении Министерства обороны Республики Казахстан, и его ведомств, утвержденным постановлением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 создаются объединенные управления, отделы по делам обороны нескольких административно-территориальных единиц.".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оказывают в пределах своей компетенции государственные услуги гражданам Республики Казахстан через Государственную корпорацию "Правительство для граждан" и информационные системы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приказом и.о.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под № 19982);".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