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c51" w14:textId="fdc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апреля 2023 года № 322 "Об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октября 2023 года № 1009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2023 года № 322 "Об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32297)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содержания подозреваемых и обвиняемых на гауптвахте органов военной полиции Вооруженных Сил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военнослужащих, водворяемых на гауптвахту, производится круглосуточно начальником гауптвахты или начальником дежурной смены гауптвахты (далее – принимающее лицо), который: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документов и правильность их оформления, дающих основание для приема лица, доставленного на гауптвахту,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опрос военнослужащих, водворяемых на гауптвахту и сверяет ответы со сведениями, указанными в документе, удостоверяющем его личность;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присутствии медицинского работника (фельдшера) органов военной полиции, проводится медицинский осмотр (лицом одного пола).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военнослужащем, водворенном на гауптвахту, а также об изъятых и принятых на хранение документах, вещах, предметах, изделиях, веществах, ценностях и сумме денег вносятся принимающим лицом в журнал учета лиц, содержащихся на гауптвахте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присутствии военнослужащего, водворяемого на гауптвахту.";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Военнослужащим, водворенным на гауптвахту военнослужащими гауптвахты представляется информация о правах и обязанностях, режиме содержания, дисциплинарных требованиях, порядке подачи заявлений и жалоб (как в письменном виде, так и в устном виде).";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Военнослужащие, водворенные на гауптвахту, размещаются по камерам раздельно и отдельно от других содержащихся на гауптвахте, с соблюдением следующих требований: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 – отдельно от военнослужащих, проходящих воинскую службу по контракту на должностях сержантского и рядового составов;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воинской службы – отдельно от категории военнослужащих, указанных в подпункте 1) настоящего пункта Правил;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– женщины – отдельно от мужчин;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военнослужащие, подозреваемые или обвиняемые по одному уголовному делу или по нескольким, связанным между собой делам;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решению начальника гауптвахты либо по письменному решению лица или органа, в производстве которого находится уголовное дело, подозреваемые и обвиняемые, жизни и здоровью которых угрожает опасность со стороны других подозреваемых и обвиняемых;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военнослужащие, больные инфекционными заболеваниями или нуждающиеся в особом медицинском уходе и наблюдении.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по камерам производится начальником гауптвахты или начальником дежурной смены, в соответствии с Планом покамерного размещения, утвержденным начальником органа военной полиции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Военнослужащие, водворенные на гауптвахту, содержатся в закрытых на замки общих камерах, описание общих камер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военнослужащих, водворенных на гауптвахту в одиночные камеры допускается по мотивированному решению начальника гауптвахты в следующих случаях: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иной возможности обеспечить соблюдение требований раздельного размещения,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 (далее – Закона);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военнослужащих, водворенных на гауптвахту;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военнослужащего, водворенного на гауптвахту, об одиночном содержании;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оскорбления других обвиняемых и подозреваемых, личного состава дежурной смены гауптвахты;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неисполнение требований дежурной смены гауптвахты или других должностных лиц органа военной полиции;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Требований к поведению подозреваемых и обвиняемых, водворенных на гауптвахту;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хранения, изготовления и использования предметов, веществ, по Перечню запрещенных предметов и веществ,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в азартных играх.";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Прием на хранение у военнослужащих, водворенных на гауптвахту, предметов и продуктов питания производится начальником дежурной смены, в присутствии медицинского работника органа военной полиции.";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Приняв посылку и передачу, военнослужащий гауптвахты возвращает лицу, доставившему передачу личные документы и первый экземпляр заявления с распиской в приеме, а второй экземпляр заявления приобщают к личному делу военнослужащего, водворенного на гауптвахту, после его подписи в получении передачи. В личном деле делается отметка о получении передачи. В случае отказа военнослужащего, водворенного на гауптвахту расписаться в заявлении, в нем делается об этом соответствующая отметка.";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Письма и заполненные бланки телеграмм от военнослужащих, водворенных на гауптвахту, принимаются военнослужащим гауптвахты ежедневно. Письма принимаются с указанием на них фамилии, инициалов отправителя и почтового адреса гауптвахты. К заполненному бланку телеграммы прилагается заявление (в произвольной форме) водворенного на имя начальника гауптвахты с просьбой снять деньги с лицевого счета военнослужащего, водворенного на гауптвахту, для оплаты телеграммы.";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Вручение поступающих писем производится начальником дежурной сменой.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Военнослужащие гауптвахты ежедневно обходят камеры и принимают от военнослужащих, водворенных на гауптвахту заявления и жалобы, как в письменном, так и в устном виде.";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При установлении факта отказа военнослужащего, водворенного на гауптвахту, от приема пищи начальник дежурной смены докладывает начальнику гауптвахты. Начальник гауптвахты выясняет причины и докладывает начальнику органа военной полиции.";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Прогулка проводится покамерно, в дневное время на специально оборудованной территории гауптвахты. Прогулка военнослужащего, водворенного на гауптвахту, по решению начальника гауптвахты (начальника дежурной смены) досрочно прекращается в случае нарушения им требований, установленных настоящими Правилами.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 и военнослужащие-женщины, водворенные на гауптвахту выводятся на прогулку отдельно от остальных военнослужащих.";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Свидания военнослужащих, водворенных на гауптвахту, с защитником, близкими родственниками и иными лицами, проводятся под контролем военнослужащих гауптвахты в специально оборудованном месте для проведения свиданий, через разделительную перегородку, исключающую передачу каких-либо предметов, но не препятствующую переговорам и визуальному общению.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гауптвахте оборудуется место для проведения свиданий, состоящее из кабин. Кабины оборудуются облегченными дверями без запоров.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Перегородка между кабинами выполняется из органического стекла с отверстиями, для ведения разговора.";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В случае досрочного прекращения свидания военнослужащий гауптвахты, ответственный за его проведение, письменно докладывает об этом начальнику гауптвахты с указанием причины прекращения свидания.";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Не допускается вывод военнослужащих, водворенных на гауптвахту из камер на свидание, а также по вызовам в период сдачи-приема дежурства дежурной сменой, во время приема пищи (завтрак, обед, ужин) согласно распорядку дня, а также в ночное время (с 22 часов вечера до 6 часов утра следующего дня), за исключением случаев, предусмотренных УПК РК.";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О водворении в одиночную камеру начальник дежурной смены гауптвахты рапортом докладывает начальнику гауптвахты, который докладывает об этом вышестоящему начальнику.";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"101. Запись военнослужащих, водворенных на гауптвахту на личный прием осуществляется ежедневно во время обхода камер военнослужащими гауптвахты.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имя начальника гауптвахты о приеме (заполняются в произвольной форме) подаются письменно или делаются устно, и регистрируются в порядке очередности их подачи в журнале личного приема начальником органа военной полиции (далее - журнал личного приема)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должностного лица, к которому военнослужащий планирует попасть на прием.";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распорядка и содержания подозреваемых и обвиняемых на гауптвахте органов военной полиции Вооруженных Сил Республики Казахстан, утвержденного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 года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 </w:t>
      </w:r>
      <w:r>
        <w:br/>
      </w:r>
      <w:r>
        <w:rPr>
          <w:rFonts w:ascii="Times New Roman"/>
          <w:b/>
          <w:i w:val="false"/>
          <w:color w:val="000000"/>
        </w:rPr>
        <w:t>(типовой)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Подозреваемые и обвиняемые соблюдают требования Правил внутреннего распорядка содержания военнослужащих, водворенных на гауптвахту военной полиции Вооруженных Сил Республики Казахстан.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подозреваемых и обвиняемых, содержащихся на гауптвахте, устанавливается следующий распорядок дня: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проводимых мероприятий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подозреваемых и обвиняемых, сдача постельных принадлежностей, подъем 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военнослужащими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Туалет, мытье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беременных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Ужин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газет и журналов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проверка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постельных принадлежностей, откидывание 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</w:tbl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гауптвахты органа военной полиции___________________ (воинское звание, подпись, фамилия, имя и отчество (при его наличии))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 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учета лиц, содержащихся на гауптвахте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"___"______ 20__года.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(арестован, осужден)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осужден, по какой статье)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(ареста, осуждения)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общих камер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камер, в которых содержатся военнослужащие, водворенные на гауптвахту, обеспечивает надежную изоляцию от внешней окружающей среды и смежных помещений. Планировочная форма камер обеспечивает наилучший обзор их через "глазок" дверного полотна.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Дверь в камеру металлическая. На высоте не ниже 95 см от уровня пола устраивается форточка для раздачи пищи. Для наблюдения за поведением военнослужащих, находящихся в камере на входной двери оборудуется "глазок".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и окна в камерах и местах общего пользования (комнате для умывания, туалете) оборудуются техническими средствами охраны. Окна в помещениях имеют металлические решетки, при необходимости обтянутые металлической сеткой с внутренней стороны.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камера оборудуется откидными нарами, столом, деревянной лавкой из расчета 0,4 метра на человека, плевательницей, емкостью с питьевой водой и кружкой. 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для содержания офицеров и женщин-военнослужащих оборудуются топчаны, столы, табуреты, тумбочки для личных вещей и туалетных принадлежностей, емкости с питьевой водой и кружки, вешалки и плевательницы.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оборудование камер прикрепляется к полу.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Замки для всех камер одинаковые и запираются одинаковыми ключами. Один ключ храниться у начальника дежурной смены, второй – у начальника гауптвахты и третий – у дежурного по органу военной полиции.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внутренней стороны окон в камерах устанавливаются металлические решетки, ограничивающие доступ к оконному проему.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коридорах гауптвахты имеются закрывающиеся на замок шкафы для туалетных принадлежностей и принадлежностей для чистки обуви. Ключи от шкафов хранятся у начальника дежурной смены.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Утепленные куртки и головные уборы хранятся в комнате для хранения вещей, арестованных гауптвахты.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учета лиц, содержащихся на гауптвахте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"___"______ 20__года.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и по какой статье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112" w:id="78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 и отчество (при его наличии))  </w:t>
      </w:r>
    </w:p>
    <w:p>
      <w:pPr>
        <w:spacing w:after="0"/>
        <w:ind w:left="0"/>
        <w:jc w:val="both"/>
      </w:pPr>
      <w:bookmarkStart w:name="z113" w:id="79"/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(адрес местожительства, место работы (службы)) </w:t>
      </w:r>
    </w:p>
    <w:p>
      <w:pPr>
        <w:spacing w:after="0"/>
        <w:ind w:left="0"/>
        <w:jc w:val="both"/>
      </w:pPr>
      <w:bookmarkStart w:name="z114" w:id="80"/>
      <w:r>
        <w:rPr>
          <w:rFonts w:ascii="Times New Roman"/>
          <w:b w:val="false"/>
          <w:i w:val="false"/>
          <w:color w:val="000000"/>
          <w:sz w:val="28"/>
        </w:rPr>
        <w:t>
      Прошу принять передачу для подозреваемого, обвиняемого 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(воинское звание, фамилия, имя и отчество (при его наличии), год рождения)</w:t>
      </w:r>
    </w:p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продуктов (предметов) передачи: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или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(кг,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фамилия заявителя ___________________________________________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 года </w:t>
      </w:r>
    </w:p>
    <w:bookmarkEnd w:id="83"/>
    <w:p>
      <w:pPr>
        <w:spacing w:after="0"/>
        <w:ind w:left="0"/>
        <w:jc w:val="both"/>
      </w:pPr>
      <w:bookmarkStart w:name="z118" w:id="84"/>
      <w:r>
        <w:rPr>
          <w:rFonts w:ascii="Times New Roman"/>
          <w:b w:val="false"/>
          <w:i w:val="false"/>
          <w:color w:val="000000"/>
          <w:sz w:val="28"/>
        </w:rPr>
        <w:t>
      Передачу принял_____________________________________________________________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(воинское звание, 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военнослужащего, принявшего передачу)</w:t>
      </w:r>
    </w:p>
    <w:p>
      <w:pPr>
        <w:spacing w:after="0"/>
        <w:ind w:left="0"/>
        <w:jc w:val="both"/>
      </w:pPr>
      <w:bookmarkStart w:name="z119" w:id="85"/>
      <w:r>
        <w:rPr>
          <w:rFonts w:ascii="Times New Roman"/>
          <w:b w:val="false"/>
          <w:i w:val="false"/>
          <w:color w:val="000000"/>
          <w:sz w:val="28"/>
        </w:rPr>
        <w:t>
      Передачу получил____________________________________________________________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(подпись, фамилия, имя и отчество (при его наличии) подозреваемого,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обвиняемого, получившего передачу)</w:t>
      </w:r>
    </w:p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принятии обращения, заявления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(түбіртек)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(корешок)</w:t>
            </w:r>
          </w:p>
          <w:bookmarkStart w:name="z129" w:id="89"/>
          <w:p>
            <w:pPr>
              <w:spacing w:after="20"/>
              <w:ind w:left="20"/>
              <w:jc w:val="both"/>
            </w:pP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саны/номер талона) Өтініш/обращение ______________________________________ ______________________________________ (өтініш берушінің аты-жөні немесе атауы/фамилия, инициалы (при его наличии) либо наименование заявителя) ______________________________________ ______________________________________ "__" ________ 20__ж./г. Өтініш тіқабылдаған әскери қызметшінің лауазымы, аты-жөні, қолы/ должность, Ф.И.О. (при его наличии), подпись военнослужащего, принявшего обращение ______________________________________ ______________________________________ (қолы/подпись) Талон қабылдаушының қолы/ подпись получившего талон _________ "__" сағ/час "___" мин. "___" _______________20__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(жыртылмалы талон)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(отрывной талон)</w:t>
            </w:r>
          </w:p>
          <w:bookmarkStart w:name="z134" w:id="91"/>
          <w:p>
            <w:pPr>
              <w:spacing w:after="20"/>
              <w:ind w:left="20"/>
              <w:jc w:val="both"/>
            </w:pPr>
          </w:p>
          <w:bookmarkEnd w:id="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(талонның саны/номер талона) Өтініш/обращение ______________________________________ ______________________________________ (өтініш берушінің аты-жөні немесе атауы/фамилия, инициалы (при его наличии) либо наименование заявителя) ______________________________________ ______________________________________ (қабылданды/принято. Қабылдаған/принял (лауазымы, аты-жөні/должность, фамилия и инициалы (при его наличии) ______________________________________ ______________________________________ ______________________________________ ______________________________________ "___" ________________ 20__ ж./г. _________________ (колы / 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Талоны должны быть пронумерованы, прошнурованы, заверены соответствующей подписью и опечатаны печатью. Талоны хранятся у начальника дежурной смены гауптвахты.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округа. Код субъекта и порядковый номер талона состоят из пяти цифр.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взысканий и поощрений военнослужащих, водворенных на гауптвахту</w:t>
      </w:r>
    </w:p>
    <w:bookmarkEnd w:id="95"/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Учет лиц, подвергнутых взысканиям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</w:tbl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Учет лиц, поощренных администрацией гауптвахты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</w:tbl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дежурной смены гауптвахты.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личного приема начальником органа военной полиции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(год, месяц, число)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 лица прибывшего на прием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содержание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