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68c8" w14:textId="c7b6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Аршалынскому району</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3 мая 2023 года № А-127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Аршалынскому району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Аршалынского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акимата района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Аршалынского района</w:t>
            </w:r>
            <w:r>
              <w:br/>
            </w:r>
            <w:r>
              <w:rPr>
                <w:rFonts w:ascii="Times New Roman"/>
                <w:b w:val="false"/>
                <w:i w:val="false"/>
                <w:color w:val="000000"/>
                <w:sz w:val="20"/>
              </w:rPr>
              <w:t>от "03" мая 2023 года</w:t>
            </w:r>
            <w:r>
              <w:br/>
            </w:r>
            <w:r>
              <w:rPr>
                <w:rFonts w:ascii="Times New Roman"/>
                <w:b w:val="false"/>
                <w:i w:val="false"/>
                <w:color w:val="000000"/>
                <w:sz w:val="20"/>
              </w:rPr>
              <w:t>№ А-127</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Аршалынскому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расчҰта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bl>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w:t>
      </w:r>
    </w:p>
    <w:p>
      <w:pPr>
        <w:spacing w:after="0"/>
        <w:ind w:left="0"/>
        <w:jc w:val="both"/>
      </w:pPr>
      <w:r>
        <w:rPr>
          <w:rFonts w:ascii="Times New Roman"/>
          <w:b w:val="false"/>
          <w:i w:val="false"/>
          <w:color w:val="000000"/>
          <w:sz w:val="28"/>
        </w:rPr>
        <w:t>
      г) наличие мусоропровода_________________________________________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w:t>
      </w:r>
    </w:p>
    <w:p>
      <w:pPr>
        <w:spacing w:after="0"/>
        <w:ind w:left="0"/>
        <w:jc w:val="both"/>
      </w:pPr>
      <w:r>
        <w:rPr>
          <w:rFonts w:ascii="Times New Roman"/>
          <w:b w:val="false"/>
          <w:i w:val="false"/>
          <w:color w:val="000000"/>
          <w:sz w:val="28"/>
        </w:rPr>
        <w:t>
      7. Периодичность вывоза отходов__________________________________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w:t>
      </w:r>
    </w:p>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_________________________________________ под твердым покрытием 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bl>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_________________________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