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3278" w14:textId="6cd3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округов, прибывшим для работы и проживания в сельские населенные пункты Аршалынского района, подъемного пособия и социальной поддержки для приобретения или строительства жилья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27 декабря 2023 года № 13/4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округов, прибывшим для работы и проживания в сельские населенные пункты Аршалынского района на 2024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для специалистов, прибывших: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специалистов ветеринарных пунктов, осуществляющих деятельность в области ветеринарии.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Подъемное пособие и социальная поддержка для приобретения или строительства жилья - бюджетный кредит предоставляются административным государственным служащим корпуса "Б", за исключением лиц, занимающих руководящие должности.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