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ff0" w14:textId="39b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11 апреля 2023 года № 14/2-8. Утратило силу решением Целиноградского районного маслихата Акмолинской области от 22 июня 2023 года № 51/6-8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22.06.2023 </w:t>
      </w:r>
      <w:r>
        <w:rPr>
          <w:rFonts w:ascii="Times New Roman"/>
          <w:b w:val="false"/>
          <w:i w:val="false"/>
          <w:color w:val="ff0000"/>
          <w:sz w:val="28"/>
        </w:rPr>
        <w:t>№ 51/6-8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18 марта 2022 года № 124/21-7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 (опубликовано в Эталонном контрольном банке нормативных правовых актов под № 165447)".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14/2-8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аппарата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