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5705" w14:textId="66f5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Целиноградского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июня 2023 года № 51/6-8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Подпункт 12) пункта 2, абзац второй пункта 5 и глава 6 действуют до 31.08.2023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Целиноградского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оценки деятельности административных государственных служащих корпуса "Б" действуют до 31 августа 2023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11 апреля 2023 года № 14/2-8 "Об утверждении Методики оценки деятельности административных государственных служащих корпуса "Б" государственного учреждения "Аппарат Целиноградского районного маслихата" (опубликовано в Эталонном контрольном банке нормативных правовых актов под № 179643)".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51/6-8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Целиноградского районного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Целиноградского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аппарата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