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625f" w14:textId="08b6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27 сентября 2023 года № 256. Утратило силу постановлением акимата Алгинского района Актюбинской области от 12 февраля 2024 года № 28</w:t>
      </w:r>
    </w:p>
    <w:p>
      <w:pPr>
        <w:spacing w:after="0"/>
        <w:ind w:left="0"/>
        <w:jc w:val="both"/>
      </w:pPr>
      <w:r>
        <w:rPr>
          <w:rFonts w:ascii="Times New Roman"/>
          <w:b w:val="false"/>
          <w:i w:val="false"/>
          <w:color w:val="ff0000"/>
          <w:sz w:val="28"/>
        </w:rPr>
        <w:t xml:space="preserve">
      Сноска. Утратило силу постановлением акимата Алгинского района Актюбинской области от 12.02.2024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Алгинский районный акимат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27 сентября 2023 № 256</w:t>
            </w:r>
          </w:p>
        </w:tc>
      </w:tr>
    </w:tbl>
    <w:bookmarkStart w:name="z6" w:id="3"/>
    <w:p>
      <w:pPr>
        <w:spacing w:after="0"/>
        <w:ind w:left="0"/>
        <w:jc w:val="left"/>
      </w:pPr>
      <w:r>
        <w:rPr>
          <w:rFonts w:ascii="Times New Roman"/>
          <w:b/>
          <w:i w:val="false"/>
          <w:color w:val="000000"/>
        </w:rPr>
        <w:t xml:space="preserve"> Типовые правила расчета норм образования и накопления коммунальных отходов 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4"/>
    <w:bookmarkStart w:name="z8" w:id="5"/>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9" w:id="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Start w:name="z10" w:id="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7"/>
    <w:bookmarkStart w:name="z11" w:id="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
    <w:bookmarkStart w:name="z12" w:id="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9"/>
    <w:bookmarkStart w:name="z13" w:id="1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0"/>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4" w:id="1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5" w:id="1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2"/>
    <w:bookmarkStart w:name="z16" w:id="1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3"/>
    <w:bookmarkStart w:name="z17" w:id="1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4"/>
    <w:bookmarkStart w:name="z18" w:id="1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5"/>
    <w:bookmarkStart w:name="z19" w:id="1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6"/>
    <w:bookmarkStart w:name="z20" w:id="1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7"/>
    <w:bookmarkStart w:name="z21" w:id="1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8"/>
    <w:bookmarkStart w:name="z22" w:id="19"/>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9"/>
    <w:bookmarkStart w:name="z23" w:id="2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0"/>
    <w:bookmarkStart w:name="z24" w:id="2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1"/>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5" w:id="22"/>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2"/>
    <w:bookmarkStart w:name="z26" w:id="23"/>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Start w:name="z27" w:id="2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28" w:id="2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5"/>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29" w:id="2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Типовым правилам расчета норм образования и накопления 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p>
      <w:pPr>
        <w:spacing w:after="0"/>
        <w:ind w:left="0"/>
        <w:jc w:val="both"/>
      </w:pPr>
      <w:r>
        <w:rPr>
          <w:rFonts w:ascii="Times New Roman"/>
          <w:b w:val="false"/>
          <w:i w:val="false"/>
          <w:color w:val="ff0000"/>
          <w:sz w:val="28"/>
        </w:rPr>
        <w:t>
      Сноска. Приложение 1 изложено в новой редакции на казахском языке, текст на русском языке не меняется приказом Министра экологии, геологии и природных ресурсов РК от 06.10.2021 № 399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Типовым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xml:space="preserve">
      9. Периодичность вывоза вторсырья 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Периодичность вывоза пищевых отходов 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w:t>
      </w:r>
    </w:p>
    <w:p>
      <w:pPr>
        <w:spacing w:after="0"/>
        <w:ind w:left="0"/>
        <w:jc w:val="both"/>
      </w:pPr>
      <w:r>
        <w:rPr>
          <w:rFonts w:ascii="Times New Roman"/>
          <w:b w:val="false"/>
          <w:i w:val="false"/>
          <w:color w:val="000000"/>
          <w:sz w:val="28"/>
        </w:rPr>
        <w:t>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Типовым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Типовым правилам расчета норм образования и накопления 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Типовым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