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c656" w14:textId="00ec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Уилском районе</w:t>
      </w:r>
    </w:p>
    <w:p>
      <w:pPr>
        <w:spacing w:after="0"/>
        <w:ind w:left="0"/>
        <w:jc w:val="both"/>
      </w:pPr>
      <w:r>
        <w:rPr>
          <w:rFonts w:ascii="Times New Roman"/>
          <w:b w:val="false"/>
          <w:i w:val="false"/>
          <w:color w:val="000000"/>
          <w:sz w:val="28"/>
        </w:rPr>
        <w:t>Постановление акимата Уилского района Актюбинской области от 1 августа 2023 года № 134</w:t>
      </w:r>
    </w:p>
    <w:p>
      <w:pPr>
        <w:spacing w:after="0"/>
        <w:ind w:left="0"/>
        <w:jc w:val="both"/>
      </w:pPr>
      <w:bookmarkStart w:name="z2"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статьей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в Уилском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1 августа 2023 года № 134</w:t>
            </w:r>
          </w:p>
        </w:tc>
      </w:tr>
    </w:tbl>
    <w:bookmarkStart w:name="z7"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Уилском районе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в Уилском районе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5"/>
    <w:bookmarkStart w:name="z9"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Start w:name="z11" w:id="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8"/>
    <w:bookmarkStart w:name="z12" w:id="9"/>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9"/>
    <w:bookmarkStart w:name="z13" w:id="1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0"/>
    <w:bookmarkStart w:name="z14" w:id="1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5" w:id="1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Уилского района, выделяются участки с охватом 2% населения общего числа жителей по каждому виду благоустройства.</w:t>
      </w:r>
    </w:p>
    <w:bookmarkEnd w:id="12"/>
    <w:bookmarkStart w:name="z16" w:id="13"/>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"Уилский районный отдел архитектуры, строительства, жилищно-коммунального хозяйства, пассажирского транспорта и автомобильных дорог"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
    <w:bookmarkStart w:name="z17" w:id="1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4"/>
    <w:bookmarkStart w:name="z18" w:id="1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5"/>
    <w:bookmarkStart w:name="z19" w:id="1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6"/>
    <w:bookmarkStart w:name="z20" w:id="1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7"/>
    <w:bookmarkStart w:name="z21" w:id="1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"Уилский районный отдел архитектуры, строительства, жилищно-коммунального хозяйства, пассажирского транспорта и автомобильных дорог"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8"/>
    <w:bookmarkStart w:name="z22" w:id="1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"Уилский районный отдел архитектуры, строительства, жилищно-коммунального хозяйства, пассажирского транспорта и автомобильных дорог"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9"/>
    <w:bookmarkStart w:name="z23" w:id="20"/>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"Уилский районный отдел архитектуры, строительства, жилищно-коммунального хозяйства, пассажирского транспорта и автомобильных дорог"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0"/>
    <w:bookmarkStart w:name="z24" w:id="2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1"/>
    <w:bookmarkStart w:name="z25" w:id="2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2"/>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6" w:id="23"/>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3"/>
    <w:bookmarkStart w:name="z27" w:id="24"/>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4"/>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Start w:name="z28" w:id="25"/>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29" w:id="2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0" w:id="2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 в Уилском районе</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 в Уилском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область______________________________________</w:t>
      </w:r>
    </w:p>
    <w:p>
      <w:pPr>
        <w:spacing w:after="0"/>
        <w:ind w:left="0"/>
        <w:jc w:val="both"/>
      </w:pPr>
      <w:r>
        <w:rPr>
          <w:rFonts w:ascii="Times New Roman"/>
          <w:b w:val="false"/>
          <w:i w:val="false"/>
          <w:color w:val="000000"/>
          <w:sz w:val="28"/>
        </w:rPr>
        <w:t>
      1. Адрес____________________________________________________________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мусоропровода_____________________________________________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w:t>
      </w:r>
    </w:p>
    <w:p>
      <w:pPr>
        <w:spacing w:after="0"/>
        <w:ind w:left="0"/>
        <w:jc w:val="both"/>
      </w:pPr>
      <w:r>
        <w:rPr>
          <w:rFonts w:ascii="Times New Roman"/>
          <w:b w:val="false"/>
          <w:i w:val="false"/>
          <w:color w:val="000000"/>
          <w:sz w:val="28"/>
        </w:rPr>
        <w:t>
      2. Адрес____________________________________________________________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4. Количество расчетных единиц (работников и т.д.) 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xml:space="preserve">
      8. Площадь дворовой территории, м2 ___________________________________ под </w:t>
      </w:r>
    </w:p>
    <w:p>
      <w:pPr>
        <w:spacing w:after="0"/>
        <w:ind w:left="0"/>
        <w:jc w:val="both"/>
      </w:pPr>
      <w:r>
        <w:rPr>
          <w:rFonts w:ascii="Times New Roman"/>
          <w:b w:val="false"/>
          <w:i w:val="false"/>
          <w:color w:val="000000"/>
          <w:sz w:val="28"/>
        </w:rPr>
        <w:t>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w:t>
      </w:r>
    </w:p>
    <w:p>
      <w:pPr>
        <w:spacing w:after="0"/>
        <w:ind w:left="0"/>
        <w:jc w:val="both"/>
      </w:pPr>
      <w:r>
        <w:rPr>
          <w:rFonts w:ascii="Times New Roman"/>
          <w:b w:val="false"/>
          <w:i w:val="false"/>
          <w:color w:val="000000"/>
          <w:sz w:val="28"/>
        </w:rPr>
        <w:t xml:space="preserve">
      13. Периодичность вывоза пищевых отходов _____________________________ </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 в Уилском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 в Уилском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 в Уилском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