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9a8a" w14:textId="1969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июня 2023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762 с бюджетной программой 206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"762 Управление строительства, энергетики и жилищно-коммунального хозяйства области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 Расходование средств Фонда поддержки инфраструктуры образования";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1 "Текущие затраты":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"Текущие трансферты":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350 "Прочие текущие трансферты":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351 "Трансферты фонду социального медицинского страхования"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360 со спецификой 361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Целевой взнос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 Целевой взнос";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350 "Прочие текущие трансферты":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подклассом 360 со спецификой 361 следующего содержания: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Безвозмездные и безвозвратные платежи из республиканского бюджета в фонд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двадцать первого, двадцать второго, двадцать третьего, двадцать четвертого, двадцать седьмого, двадцать восьмого, двадцать девятого и тридцатого пункта 1 настоящего приказа, которые вводятся в действие с 1 января 2024 года и подлежат официальному опубликованию.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