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348e" w14:textId="b423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Бородулихинскому району</w:t>
      </w:r>
    </w:p>
    <w:p>
      <w:pPr>
        <w:spacing w:after="0"/>
        <w:ind w:left="0"/>
        <w:jc w:val="both"/>
      </w:pPr>
      <w:r>
        <w:rPr>
          <w:rFonts w:ascii="Times New Roman"/>
          <w:b w:val="false"/>
          <w:i w:val="false"/>
          <w:color w:val="000000"/>
          <w:sz w:val="28"/>
        </w:rPr>
        <w:t>Решение Бородулихинского районного маслихата области Абай от 6 октября 2023 года № 8-8-VIII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Бородулихинский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Бородулихинскому району.</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Бородулихинского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6 октября 2023 года</w:t>
            </w:r>
            <w:r>
              <w:br/>
            </w:r>
            <w:r>
              <w:rPr>
                <w:rFonts w:ascii="Times New Roman"/>
                <w:b w:val="false"/>
                <w:i w:val="false"/>
                <w:color w:val="000000"/>
                <w:sz w:val="20"/>
              </w:rPr>
              <w:t>№ 8-8-VIII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района,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Бородулихинского района.</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поселкового округа: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сельского, поселкового округа (далее – сельский округ)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акиму с указанием повестки дня. </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Бородулихинский районный маслихат.</w:t>
      </w:r>
    </w:p>
    <w:bookmarkEnd w:id="64"/>
    <w:bookmarkStart w:name="z72" w:id="6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Бородулихинского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Бородулихинского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 xml:space="preserve">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7"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78" w:id="71"/>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4"/>
    <w:bookmarkStart w:name="z82" w:id="75"/>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