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cf51" w14:textId="863c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их использованию на землях города Жезказган (Кенгирский сельский округ, Сарыкенгирский сельский округ, Талапский сельский округ) на 2023-2024 годы</w:t>
      </w:r>
    </w:p>
    <w:p>
      <w:pPr>
        <w:spacing w:after="0"/>
        <w:ind w:left="0"/>
        <w:jc w:val="both"/>
      </w:pPr>
      <w:r>
        <w:rPr>
          <w:rFonts w:ascii="Times New Roman"/>
          <w:b w:val="false"/>
          <w:i w:val="false"/>
          <w:color w:val="000000"/>
          <w:sz w:val="28"/>
        </w:rPr>
        <w:t>Решение Жезказганского городского маслихата области Ұлытау от 7 сентября 2023 года № 7/44</w:t>
      </w:r>
    </w:p>
    <w:p>
      <w:pPr>
        <w:spacing w:after="0"/>
        <w:ind w:left="0"/>
        <w:jc w:val="both"/>
      </w:pPr>
      <w:bookmarkStart w:name="z4" w:id="0"/>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20 февраля 2017 года "</w:t>
      </w:r>
      <w:r>
        <w:rPr>
          <w:rFonts w:ascii="Times New Roman"/>
          <w:b w:val="false"/>
          <w:i w:val="false"/>
          <w:color w:val="000000"/>
          <w:sz w:val="28"/>
        </w:rPr>
        <w:t>О пастбищах</w:t>
      </w:r>
      <w:r>
        <w:rPr>
          <w:rFonts w:ascii="Times New Roman"/>
          <w:b w:val="false"/>
          <w:i w:val="false"/>
          <w:color w:val="000000"/>
          <w:sz w:val="28"/>
        </w:rPr>
        <w:t>" Жезказганский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на землях города Жезказган (Кенгирский сельский округ, Сарыкенгирский сельский округ, Талапский сельский округ) на 2023-2024 годы.</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Жезказганского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Р.Капарова</w:t>
            </w:r>
            <w:r>
              <w:rPr>
                <w:rFonts w:ascii="Times New Roman"/>
                <w:b w:val="false"/>
                <w:i w:val="false"/>
                <w:color w:val="000000"/>
                <w:sz w:val="20"/>
              </w:rPr>
              <w:t>
</w:t>
            </w:r>
          </w:p>
        </w:tc>
      </w:tr>
    </w:tbl>
    <w:bookmarkStart w:name="z8" w:id="3"/>
    <w:p>
      <w:pPr>
        <w:spacing w:after="0"/>
        <w:ind w:left="0"/>
        <w:jc w:val="left"/>
      </w:pPr>
      <w:r>
        <w:rPr>
          <w:rFonts w:ascii="Times New Roman"/>
          <w:b/>
          <w:i w:val="false"/>
          <w:color w:val="000000"/>
        </w:rPr>
        <w:t xml:space="preserve"> План по управлению пастбищами и их использованию на землях города Жезказган (Кенгирский сельский округ, Сарыкенгирский сельский округ, Талапский сельский округ) на 2023-2024 годы</w:t>
      </w:r>
    </w:p>
    <w:bookmarkEnd w:id="3"/>
    <w:bookmarkStart w:name="z9" w:id="4"/>
    <w:p>
      <w:pPr>
        <w:spacing w:after="0"/>
        <w:ind w:left="0"/>
        <w:jc w:val="both"/>
      </w:pPr>
      <w:r>
        <w:rPr>
          <w:rFonts w:ascii="Times New Roman"/>
          <w:b w:val="false"/>
          <w:i w:val="false"/>
          <w:color w:val="000000"/>
          <w:sz w:val="28"/>
        </w:rPr>
        <w:t xml:space="preserve">
      План по управлению пастбищами и их использованию на землях города Жезказган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2017 года "О пастбищах". Настоящий План обеспечивает рациональное использование пастбищ, устойчивое обеспечение потребности в кормах и предотвращение процессов деградации пастбищ.</w:t>
      </w:r>
    </w:p>
    <w:bookmarkEnd w:id="4"/>
    <w:bookmarkStart w:name="z10" w:id="5"/>
    <w:p>
      <w:pPr>
        <w:spacing w:after="0"/>
        <w:ind w:left="0"/>
        <w:jc w:val="both"/>
      </w:pPr>
      <w:r>
        <w:rPr>
          <w:rFonts w:ascii="Times New Roman"/>
          <w:b w:val="false"/>
          <w:i w:val="false"/>
          <w:color w:val="000000"/>
          <w:sz w:val="28"/>
        </w:rPr>
        <w:t>
      План содержит:</w:t>
      </w:r>
    </w:p>
    <w:bookmarkEnd w:id="5"/>
    <w:bookmarkStart w:name="z11" w:id="6"/>
    <w:p>
      <w:pPr>
        <w:spacing w:after="0"/>
        <w:ind w:left="0"/>
        <w:jc w:val="both"/>
      </w:pPr>
      <w:r>
        <w:rPr>
          <w:rFonts w:ascii="Times New Roman"/>
          <w:b w:val="false"/>
          <w:i w:val="false"/>
          <w:color w:val="000000"/>
          <w:sz w:val="28"/>
        </w:rPr>
        <w:t xml:space="preserve">
      1) Систематический список почв, встречающихся на территории земель города Жезказган, представлен согласно </w:t>
      </w:r>
      <w:r>
        <w:rPr>
          <w:rFonts w:ascii="Times New Roman"/>
          <w:b w:val="false"/>
          <w:i w:val="false"/>
          <w:color w:val="000000"/>
          <w:sz w:val="28"/>
        </w:rPr>
        <w:t>приложению 1</w:t>
      </w:r>
      <w:r>
        <w:rPr>
          <w:rFonts w:ascii="Times New Roman"/>
          <w:b w:val="false"/>
          <w:i w:val="false"/>
          <w:color w:val="000000"/>
          <w:sz w:val="28"/>
        </w:rPr>
        <w:t xml:space="preserve"> к Плану по управлению и использованию пастбищ на землях города Жезказган на 2023-2024 годы.</w:t>
      </w:r>
    </w:p>
    <w:bookmarkEnd w:id="6"/>
    <w:bookmarkStart w:name="z12" w:id="7"/>
    <w:p>
      <w:pPr>
        <w:spacing w:after="0"/>
        <w:ind w:left="0"/>
        <w:jc w:val="both"/>
      </w:pPr>
      <w:r>
        <w:rPr>
          <w:rFonts w:ascii="Times New Roman"/>
          <w:b w:val="false"/>
          <w:i w:val="false"/>
          <w:color w:val="000000"/>
          <w:sz w:val="28"/>
        </w:rPr>
        <w:t xml:space="preserve">
      2) Таблица земельного фонда по категориям земель представлена согласно </w:t>
      </w:r>
      <w:r>
        <w:rPr>
          <w:rFonts w:ascii="Times New Roman"/>
          <w:b w:val="false"/>
          <w:i w:val="false"/>
          <w:color w:val="000000"/>
          <w:sz w:val="28"/>
        </w:rPr>
        <w:t>Приложению 2</w:t>
      </w:r>
      <w:r>
        <w:rPr>
          <w:rFonts w:ascii="Times New Roman"/>
          <w:b w:val="false"/>
          <w:i w:val="false"/>
          <w:color w:val="000000"/>
          <w:sz w:val="28"/>
        </w:rPr>
        <w:t xml:space="preserve"> к Плану по управлению и использованию пастбищ на землях города Жезказган на 2023-2024 годы.</w:t>
      </w:r>
    </w:p>
    <w:bookmarkEnd w:id="7"/>
    <w:bookmarkStart w:name="z13" w:id="8"/>
    <w:p>
      <w:pPr>
        <w:spacing w:after="0"/>
        <w:ind w:left="0"/>
        <w:jc w:val="both"/>
      </w:pPr>
      <w:r>
        <w:rPr>
          <w:rFonts w:ascii="Times New Roman"/>
          <w:b w:val="false"/>
          <w:i w:val="false"/>
          <w:color w:val="000000"/>
          <w:sz w:val="28"/>
        </w:rPr>
        <w:t xml:space="preserve">
      3) Календарный график по использованию пастбищ, устанавливающий сезонные маршруты выпаса и передвижения сельскохозяйственных животных представлен согласно </w:t>
      </w:r>
      <w:r>
        <w:rPr>
          <w:rFonts w:ascii="Times New Roman"/>
          <w:b w:val="false"/>
          <w:i w:val="false"/>
          <w:color w:val="000000"/>
          <w:sz w:val="28"/>
        </w:rPr>
        <w:t>Приложению 3</w:t>
      </w:r>
      <w:r>
        <w:rPr>
          <w:rFonts w:ascii="Times New Roman"/>
          <w:b w:val="false"/>
          <w:i w:val="false"/>
          <w:color w:val="000000"/>
          <w:sz w:val="28"/>
        </w:rPr>
        <w:t xml:space="preserve"> к Плану по управлению и использованию пастбищ на землях города Жезказган на 2023-2024 годы.</w:t>
      </w:r>
    </w:p>
    <w:bookmarkEnd w:id="8"/>
    <w:bookmarkStart w:name="z14" w:id="9"/>
    <w:p>
      <w:pPr>
        <w:spacing w:after="0"/>
        <w:ind w:left="0"/>
        <w:jc w:val="both"/>
      </w:pPr>
      <w:r>
        <w:rPr>
          <w:rFonts w:ascii="Times New Roman"/>
          <w:b w:val="false"/>
          <w:i w:val="false"/>
          <w:color w:val="000000"/>
          <w:sz w:val="28"/>
        </w:rPr>
        <w:t xml:space="preserve">
      4) Информация о ветеринарно-санитарных объектах представлена согласно </w:t>
      </w:r>
      <w:r>
        <w:rPr>
          <w:rFonts w:ascii="Times New Roman"/>
          <w:b w:val="false"/>
          <w:i w:val="false"/>
          <w:color w:val="000000"/>
          <w:sz w:val="28"/>
        </w:rPr>
        <w:t>Приложению 4</w:t>
      </w:r>
      <w:r>
        <w:rPr>
          <w:rFonts w:ascii="Times New Roman"/>
          <w:b w:val="false"/>
          <w:i w:val="false"/>
          <w:color w:val="000000"/>
          <w:sz w:val="28"/>
        </w:rPr>
        <w:t xml:space="preserve"> к Плану по управлению и использованию пастбищ на землях города Жезказган на 2023-2024 годы.</w:t>
      </w:r>
    </w:p>
    <w:bookmarkEnd w:id="9"/>
    <w:bookmarkStart w:name="z15" w:id="10"/>
    <w:p>
      <w:pPr>
        <w:spacing w:after="0"/>
        <w:ind w:left="0"/>
        <w:jc w:val="both"/>
      </w:pPr>
      <w:r>
        <w:rPr>
          <w:rFonts w:ascii="Times New Roman"/>
          <w:b w:val="false"/>
          <w:i w:val="false"/>
          <w:color w:val="000000"/>
          <w:sz w:val="28"/>
        </w:rPr>
        <w:t xml:space="preserve">
      5) Информация по численности поголовья сельскохозяйственных животных представлена согласно </w:t>
      </w:r>
      <w:r>
        <w:rPr>
          <w:rFonts w:ascii="Times New Roman"/>
          <w:b w:val="false"/>
          <w:i w:val="false"/>
          <w:color w:val="000000"/>
          <w:sz w:val="28"/>
        </w:rPr>
        <w:t>Приложению 5</w:t>
      </w:r>
      <w:r>
        <w:rPr>
          <w:rFonts w:ascii="Times New Roman"/>
          <w:b w:val="false"/>
          <w:i w:val="false"/>
          <w:color w:val="000000"/>
          <w:sz w:val="28"/>
        </w:rPr>
        <w:t xml:space="preserve"> к Плану по управлению и использованию на землях города Жезказган на 2023-2024 годы.</w:t>
      </w:r>
    </w:p>
    <w:bookmarkEnd w:id="10"/>
    <w:bookmarkStart w:name="z16" w:id="11"/>
    <w:p>
      <w:pPr>
        <w:spacing w:after="0"/>
        <w:ind w:left="0"/>
        <w:jc w:val="both"/>
      </w:pPr>
      <w:r>
        <w:rPr>
          <w:rFonts w:ascii="Times New Roman"/>
          <w:b w:val="false"/>
          <w:i w:val="false"/>
          <w:color w:val="000000"/>
          <w:sz w:val="28"/>
        </w:rPr>
        <w:t xml:space="preserve">
      6) Данные о количестве гуртов, отар, табунов, сформированных по видам и половозрастным группам сельскохозяйственных животных представлены согласно </w:t>
      </w:r>
      <w:r>
        <w:rPr>
          <w:rFonts w:ascii="Times New Roman"/>
          <w:b w:val="false"/>
          <w:i w:val="false"/>
          <w:color w:val="000000"/>
          <w:sz w:val="28"/>
        </w:rPr>
        <w:t>Приложению 6</w:t>
      </w:r>
      <w:r>
        <w:rPr>
          <w:rFonts w:ascii="Times New Roman"/>
          <w:b w:val="false"/>
          <w:i w:val="false"/>
          <w:color w:val="000000"/>
          <w:sz w:val="28"/>
        </w:rPr>
        <w:t xml:space="preserve"> к Плану по управлению и использованию пастбищ на землях города Жезказган на 2023-2024 годы.</w:t>
      </w:r>
    </w:p>
    <w:bookmarkEnd w:id="11"/>
    <w:bookmarkStart w:name="z17" w:id="12"/>
    <w:p>
      <w:pPr>
        <w:spacing w:after="0"/>
        <w:ind w:left="0"/>
        <w:jc w:val="both"/>
      </w:pPr>
      <w:r>
        <w:rPr>
          <w:rFonts w:ascii="Times New Roman"/>
          <w:b w:val="false"/>
          <w:i w:val="false"/>
          <w:color w:val="000000"/>
          <w:sz w:val="28"/>
        </w:rPr>
        <w:t xml:space="preserve">
      7) Схема (карта) расположения пастбищ на территории земли города Жезказган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7</w:t>
      </w:r>
      <w:r>
        <w:rPr>
          <w:rFonts w:ascii="Times New Roman"/>
          <w:b w:val="false"/>
          <w:i w:val="false"/>
          <w:color w:val="000000"/>
          <w:sz w:val="28"/>
        </w:rPr>
        <w:t xml:space="preserve"> к Плану по управлению и использованию пастбищ на землях города Жезказган на 2023-2024 годы.</w:t>
      </w:r>
    </w:p>
    <w:bookmarkEnd w:id="12"/>
    <w:bookmarkStart w:name="z18" w:id="13"/>
    <w:p>
      <w:pPr>
        <w:spacing w:after="0"/>
        <w:ind w:left="0"/>
        <w:jc w:val="both"/>
      </w:pPr>
      <w:r>
        <w:rPr>
          <w:rFonts w:ascii="Times New Roman"/>
          <w:b w:val="false"/>
          <w:i w:val="false"/>
          <w:color w:val="000000"/>
          <w:sz w:val="28"/>
        </w:rPr>
        <w:t xml:space="preserve">
      8) Схема (карта) расположения пастбищ на территории земель запаса города Жезказган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8</w:t>
      </w:r>
      <w:r>
        <w:rPr>
          <w:rFonts w:ascii="Times New Roman"/>
          <w:b w:val="false"/>
          <w:i w:val="false"/>
          <w:color w:val="000000"/>
          <w:sz w:val="28"/>
        </w:rPr>
        <w:t xml:space="preserve"> к Плану по управлению и использованию пастбищ на землях города Жезказган на 2023-2024 годы.</w:t>
      </w:r>
    </w:p>
    <w:bookmarkEnd w:id="13"/>
    <w:bookmarkStart w:name="z19" w:id="14"/>
    <w:p>
      <w:pPr>
        <w:spacing w:after="0"/>
        <w:ind w:left="0"/>
        <w:jc w:val="both"/>
      </w:pPr>
      <w:r>
        <w:rPr>
          <w:rFonts w:ascii="Times New Roman"/>
          <w:b w:val="false"/>
          <w:i w:val="false"/>
          <w:color w:val="000000"/>
          <w:sz w:val="28"/>
        </w:rPr>
        <w:t xml:space="preserve">
      9) Схема (карта) расположения пастбищ на территории земли города Жезказган (Кенгирский сельский округ, Сарыкенгирский сельский округ, Талапский сельский округ)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Приложениям 9</w:t>
      </w:r>
      <w:r>
        <w:rPr>
          <w:rFonts w:ascii="Times New Roman"/>
          <w:b w:val="false"/>
          <w:i w:val="false"/>
          <w:color w:val="000000"/>
          <w:sz w:val="28"/>
        </w:rPr>
        <w:t>-</w:t>
      </w:r>
      <w:r>
        <w:rPr>
          <w:rFonts w:ascii="Times New Roman"/>
          <w:b w:val="false"/>
          <w:i w:val="false"/>
          <w:color w:val="000000"/>
          <w:sz w:val="28"/>
        </w:rPr>
        <w:t>11</w:t>
      </w:r>
      <w:r>
        <w:rPr>
          <w:rFonts w:ascii="Times New Roman"/>
          <w:b w:val="false"/>
          <w:i w:val="false"/>
          <w:color w:val="000000"/>
          <w:sz w:val="28"/>
        </w:rPr>
        <w:t xml:space="preserve"> к Плану по управлению и использованию пастбищ на землях города Жезказган на 2023-2024 годы.</w:t>
      </w:r>
    </w:p>
    <w:bookmarkEnd w:id="14"/>
    <w:bookmarkStart w:name="z20" w:id="15"/>
    <w:p>
      <w:pPr>
        <w:spacing w:after="0"/>
        <w:ind w:left="0"/>
        <w:jc w:val="both"/>
      </w:pPr>
      <w:r>
        <w:rPr>
          <w:rFonts w:ascii="Times New Roman"/>
          <w:b w:val="false"/>
          <w:i w:val="false"/>
          <w:color w:val="000000"/>
          <w:sz w:val="28"/>
        </w:rPr>
        <w:t xml:space="preserve">
      10) Карта с обозначением внешних и внутренних границ и площадей пастбищ, объектов пастбищной инфраструктуры на землях города Жезказган (Кенгирский сельский округ, Сарыкенгирский сельский округ, Талапский сельский округ) согласно </w:t>
      </w:r>
      <w:r>
        <w:rPr>
          <w:rFonts w:ascii="Times New Roman"/>
          <w:b w:val="false"/>
          <w:i w:val="false"/>
          <w:color w:val="000000"/>
          <w:sz w:val="28"/>
        </w:rPr>
        <w:t>Приложениям 11</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к Плану по управлению и использованию пастбищ на землях города Жезказган на 2023-2024 годы.</w:t>
      </w:r>
    </w:p>
    <w:bookmarkEnd w:id="15"/>
    <w:bookmarkStart w:name="z21" w:id="16"/>
    <w:p>
      <w:pPr>
        <w:spacing w:after="0"/>
        <w:ind w:left="0"/>
        <w:jc w:val="both"/>
      </w:pPr>
      <w:r>
        <w:rPr>
          <w:rFonts w:ascii="Times New Roman"/>
          <w:b w:val="false"/>
          <w:i w:val="false"/>
          <w:color w:val="000000"/>
          <w:sz w:val="28"/>
        </w:rPr>
        <w:t xml:space="preserve">
      11) Схема доступа пастбищепользователей к водным источникам на землях города Жезказган (Кенгирский сельский округ, Сарыкенгирский сельский округ, Талапский сельский округ) согласно </w:t>
      </w:r>
      <w:r>
        <w:rPr>
          <w:rFonts w:ascii="Times New Roman"/>
          <w:b w:val="false"/>
          <w:i w:val="false"/>
          <w:color w:val="000000"/>
          <w:sz w:val="28"/>
        </w:rPr>
        <w:t>Приложениям 17</w:t>
      </w:r>
      <w:r>
        <w:rPr>
          <w:rFonts w:ascii="Times New Roman"/>
          <w:b w:val="false"/>
          <w:i w:val="false"/>
          <w:color w:val="000000"/>
          <w:sz w:val="28"/>
        </w:rPr>
        <w:t>-</w:t>
      </w:r>
      <w:r>
        <w:rPr>
          <w:rFonts w:ascii="Times New Roman"/>
          <w:b w:val="false"/>
          <w:i w:val="false"/>
          <w:color w:val="000000"/>
          <w:sz w:val="28"/>
        </w:rPr>
        <w:t>21</w:t>
      </w:r>
      <w:r>
        <w:rPr>
          <w:rFonts w:ascii="Times New Roman"/>
          <w:b w:val="false"/>
          <w:i w:val="false"/>
          <w:color w:val="000000"/>
          <w:sz w:val="28"/>
        </w:rPr>
        <w:t xml:space="preserve"> к Плану по управлению и использованию пастбищ на землях города Жезказган на 2023-2024 годы.</w:t>
      </w:r>
    </w:p>
    <w:bookmarkEnd w:id="16"/>
    <w:bookmarkStart w:name="z22" w:id="17"/>
    <w:p>
      <w:pPr>
        <w:spacing w:after="0"/>
        <w:ind w:left="0"/>
        <w:jc w:val="both"/>
      </w:pPr>
      <w:r>
        <w:rPr>
          <w:rFonts w:ascii="Times New Roman"/>
          <w:b w:val="false"/>
          <w:i w:val="false"/>
          <w:color w:val="000000"/>
          <w:sz w:val="28"/>
        </w:rPr>
        <w:t xml:space="preserve">
      12)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пастбища на территории земли города Жезказган (Кенгирский сельский округ, Сарыкенгирский сельский округ, Талапский сельский округ) согласно </w:t>
      </w:r>
      <w:r>
        <w:rPr>
          <w:rFonts w:ascii="Times New Roman"/>
          <w:b w:val="false"/>
          <w:i w:val="false"/>
          <w:color w:val="000000"/>
          <w:sz w:val="28"/>
        </w:rPr>
        <w:t>Приложениям 22</w:t>
      </w:r>
      <w:r>
        <w:rPr>
          <w:rFonts w:ascii="Times New Roman"/>
          <w:b w:val="false"/>
          <w:i w:val="false"/>
          <w:color w:val="000000"/>
          <w:sz w:val="28"/>
        </w:rPr>
        <w:t>-</w:t>
      </w:r>
      <w:r>
        <w:rPr>
          <w:rFonts w:ascii="Times New Roman"/>
          <w:b w:val="false"/>
          <w:i w:val="false"/>
          <w:color w:val="000000"/>
          <w:sz w:val="28"/>
        </w:rPr>
        <w:t>26</w:t>
      </w:r>
      <w:r>
        <w:rPr>
          <w:rFonts w:ascii="Times New Roman"/>
          <w:b w:val="false"/>
          <w:i w:val="false"/>
          <w:color w:val="000000"/>
          <w:sz w:val="28"/>
        </w:rPr>
        <w:t xml:space="preserve"> к Плану по управлению и использованию пастбищ на землях города Жезказган на 2023-2024 годы.</w:t>
      </w:r>
    </w:p>
    <w:bookmarkEnd w:id="17"/>
    <w:bookmarkStart w:name="z23" w:id="18"/>
    <w:p>
      <w:pPr>
        <w:spacing w:after="0"/>
        <w:ind w:left="0"/>
        <w:jc w:val="left"/>
      </w:pPr>
      <w:r>
        <w:rPr>
          <w:rFonts w:ascii="Times New Roman"/>
          <w:b/>
          <w:i w:val="false"/>
          <w:color w:val="000000"/>
        </w:rPr>
        <w:t xml:space="preserve"> Сведения о емкости пастбищ.</w:t>
      </w:r>
    </w:p>
    <w:bookmarkEnd w:id="18"/>
    <w:bookmarkStart w:name="z24" w:id="19"/>
    <w:p>
      <w:pPr>
        <w:spacing w:after="0"/>
        <w:ind w:left="0"/>
        <w:jc w:val="both"/>
      </w:pPr>
      <w:r>
        <w:rPr>
          <w:rFonts w:ascii="Times New Roman"/>
          <w:b w:val="false"/>
          <w:i w:val="false"/>
          <w:color w:val="000000"/>
          <w:sz w:val="28"/>
        </w:rPr>
        <w:t>
      Одним из методов определения емкости пастбищ в пастбищный период является метод определения на основе имеющихся данных о продуктивности пастбищ. Суточная потребность в зеленом корме для различных видов животных определяется по зоотехническим нормам, принятым в хозяйстве. Однако, ориентировочно можно придерживаться следующих норм зеленого корма (в среднем на одну голову): коровам в зависимости от удоя 40-75 килограммов, молодняку крупного рогатого скота старше 1 года 30-40 килограммов, молодняку до 1 года 15-25 килограммов, овцам 6-8 килограммов, ягнятам 2-3 килограмма, лошадям 30-40 килограммов. Продолжительность пастбищного периода в различных зонах в среднем следующая: в лесной зоне 130-140 дней, в лесостепи 150-200 дней, в степи 180-200 дней.</w:t>
      </w:r>
    </w:p>
    <w:bookmarkEnd w:id="19"/>
    <w:bookmarkStart w:name="z25" w:id="20"/>
    <w:p>
      <w:pPr>
        <w:spacing w:after="0"/>
        <w:ind w:left="0"/>
        <w:jc w:val="both"/>
      </w:pPr>
      <w:r>
        <w:rPr>
          <w:rFonts w:ascii="Times New Roman"/>
          <w:b w:val="false"/>
          <w:i w:val="false"/>
          <w:color w:val="000000"/>
          <w:sz w:val="28"/>
        </w:rPr>
        <w:t>
      Таким образом, зная урожай пастбища, суточную потребность животного в зеленом корме и продолжительность пастбищного периода, можно определить емкость пастбища.</w:t>
      </w:r>
    </w:p>
    <w:bookmarkEnd w:id="20"/>
    <w:bookmarkStart w:name="z26" w:id="21"/>
    <w:p>
      <w:pPr>
        <w:spacing w:after="0"/>
        <w:ind w:left="0"/>
        <w:jc w:val="both"/>
      </w:pPr>
      <w:r>
        <w:rPr>
          <w:rFonts w:ascii="Times New Roman"/>
          <w:b w:val="false"/>
          <w:i w:val="false"/>
          <w:color w:val="000000"/>
          <w:sz w:val="28"/>
        </w:rPr>
        <w:t>
      Существует несколько систем пастьбы, из которых наиболее известны следующие:</w:t>
      </w:r>
    </w:p>
    <w:bookmarkEnd w:id="21"/>
    <w:bookmarkStart w:name="z27" w:id="22"/>
    <w:p>
      <w:pPr>
        <w:spacing w:after="0"/>
        <w:ind w:left="0"/>
        <w:jc w:val="both"/>
      </w:pPr>
      <w:r>
        <w:rPr>
          <w:rFonts w:ascii="Times New Roman"/>
          <w:b w:val="false"/>
          <w:i w:val="false"/>
          <w:color w:val="000000"/>
          <w:sz w:val="28"/>
        </w:rPr>
        <w:t>
      - вольная, или бессистемная пастьба, когда скот пасется по всему пастбищу ежедневно в течение всего пастбищного периода;</w:t>
      </w:r>
    </w:p>
    <w:bookmarkEnd w:id="22"/>
    <w:bookmarkStart w:name="z28" w:id="23"/>
    <w:p>
      <w:pPr>
        <w:spacing w:after="0"/>
        <w:ind w:left="0"/>
        <w:jc w:val="both"/>
      </w:pPr>
      <w:r>
        <w:rPr>
          <w:rFonts w:ascii="Times New Roman"/>
          <w:b w:val="false"/>
          <w:i w:val="false"/>
          <w:color w:val="000000"/>
          <w:sz w:val="28"/>
        </w:rPr>
        <w:t>
      - пастьба на привязи, состоящая в том, что животное пасется на веревочной или цепной привязи на небольшом участке пастбищ, а потом переводится на другой участок, затем на следующий и так далее;</w:t>
      </w:r>
    </w:p>
    <w:bookmarkEnd w:id="23"/>
    <w:bookmarkStart w:name="z29" w:id="24"/>
    <w:p>
      <w:pPr>
        <w:spacing w:after="0"/>
        <w:ind w:left="0"/>
        <w:jc w:val="both"/>
      </w:pPr>
      <w:r>
        <w:rPr>
          <w:rFonts w:ascii="Times New Roman"/>
          <w:b w:val="false"/>
          <w:i w:val="false"/>
          <w:color w:val="000000"/>
          <w:sz w:val="28"/>
        </w:rPr>
        <w:t>
      - загонная система пастьбы, когда пастбищный участок делят на несколько загонов и стравливают их скоту поочередно. На территории земли города Жезказган применяется только вольная и загонная система пастьбы. На привязях иногда пасут племенных быков или же слабых, старых животных.</w:t>
      </w:r>
    </w:p>
    <w:bookmarkEnd w:id="24"/>
    <w:bookmarkStart w:name="z30" w:id="25"/>
    <w:p>
      <w:pPr>
        <w:spacing w:after="0"/>
        <w:ind w:left="0"/>
        <w:jc w:val="both"/>
      </w:pPr>
      <w:r>
        <w:rPr>
          <w:rFonts w:ascii="Times New Roman"/>
          <w:b w:val="false"/>
          <w:i w:val="false"/>
          <w:color w:val="000000"/>
          <w:sz w:val="28"/>
        </w:rPr>
        <w:t>
      Загонная система пастьбы. Основное звено рационального использования пастбищ – загонная система пастьбы. По сравнению с бессистемной пастьбой этот способ имеет огромные преимущества. При бессистемном (вольном) выпасе скота в травостое постоянно уменьшается количество хорошо поедаемых злаковых и бобовых растений, наконец, ценные растения исчезают, заменяясь плохо поедаемыми и не поедаемыми травами, а также низкорослыми, малоурожайными растениями. В результате во второй половине пастбищного сезона животные испытывают недостаток в питании и вынуждены поедать малоценные или перестоявшие растения. При загонной системе пастьбы эти недостатки устраняются, сохраняется высокая продуктивность пастбищ и состояние травостоя.</w:t>
      </w:r>
    </w:p>
    <w:bookmarkEnd w:id="25"/>
    <w:bookmarkStart w:name="z31" w:id="26"/>
    <w:p>
      <w:pPr>
        <w:spacing w:after="0"/>
        <w:ind w:left="0"/>
        <w:jc w:val="both"/>
      </w:pPr>
      <w:r>
        <w:rPr>
          <w:rFonts w:ascii="Times New Roman"/>
          <w:b w:val="false"/>
          <w:i w:val="false"/>
          <w:color w:val="000000"/>
          <w:sz w:val="28"/>
        </w:rPr>
        <w:t>
      При загонной системе пастьбы пастбищный участок делят на загоны, травостой которых стравливают скоту по очереди. Сначала скот пасут в первом загоне, а потом, когда на этом участке растительность будет стравлена, скот перегоняют на второй загон. По окончании стравливания во втором загоне, скот перегоняют в третий, затем в четвертый и так поступают до тех пор, пока не будут использованы все загоны, после чего скот переводят снова в первый загон. Начинается второй цикл стравливания в порядке очередности всех загонов. Каждый загон должен быть свободным от выпаса 25-30 дней, чтобы трава на этом участке хорошо отросла. При загонной системе пастьбы значительно уменьшается площадь, потребная для содержания скота, удои коров в пастбищный период повышаются в среднем на 15-25%, а привес живого веса молодняка на 25-30% по сравнению с бессистемной пастьбой.</w:t>
      </w:r>
    </w:p>
    <w:bookmarkEnd w:id="26"/>
    <w:bookmarkStart w:name="z32" w:id="27"/>
    <w:p>
      <w:pPr>
        <w:spacing w:after="0"/>
        <w:ind w:left="0"/>
        <w:jc w:val="both"/>
      </w:pPr>
      <w:r>
        <w:rPr>
          <w:rFonts w:ascii="Times New Roman"/>
          <w:b w:val="false"/>
          <w:i w:val="false"/>
          <w:color w:val="000000"/>
          <w:sz w:val="28"/>
        </w:rPr>
        <w:t>
      Для различных природных зон и типов пастбищ разработаны соответствующие схемы пастбищеоборота. По данным Ларина В.И. в условиях Казахстана за пастбищный период в сухостепной зоне возможно отрастание одной-двух отав, в этой связи число циклов стравливания травостоя рекомендуется в сухостепной зоне – два-три. В трехпольном пастбищеобороте, рекомендованном для пастбищ сухостепной зоны, предусматривается в среднем двукратное стравливание травостоя: 1-е поле – трехкратное стравливание, начиная с весны текущего года, 2-е поле – двукратное летом и осенью, 3-е поле – однократное осенью после созревания и осыпания семян. Каждое поле пастбищеоборота в процессе выпаса делится на загоны очередного стравливания, число которых устанавливается с учетом конкретных условий года. Продолжительность пребывания скота в загоне не должна превышать 6 дней.</w:t>
      </w:r>
    </w:p>
    <w:bookmarkEnd w:id="27"/>
    <w:bookmarkStart w:name="z33" w:id="28"/>
    <w:p>
      <w:pPr>
        <w:spacing w:after="0"/>
        <w:ind w:left="0"/>
        <w:jc w:val="both"/>
      </w:pPr>
      <w:r>
        <w:rPr>
          <w:rFonts w:ascii="Times New Roman"/>
          <w:b w:val="false"/>
          <w:i w:val="false"/>
          <w:color w:val="000000"/>
          <w:sz w:val="28"/>
        </w:rPr>
        <w:t>
      Среднее количество загонов в пастбищеобороте для этого типа пастбищ, может быть исчислено по формуле:</w:t>
      </w:r>
    </w:p>
    <w:bookmarkEnd w:id="28"/>
    <w:bookmarkStart w:name="z34" w:id="29"/>
    <w:p>
      <w:pPr>
        <w:spacing w:after="0"/>
        <w:ind w:left="0"/>
        <w:jc w:val="both"/>
      </w:pPr>
      <w:r>
        <w:rPr>
          <w:rFonts w:ascii="Times New Roman"/>
          <w:b w:val="false"/>
          <w:i w:val="false"/>
          <w:color w:val="000000"/>
          <w:sz w:val="28"/>
        </w:rPr>
        <w:t>
      Количество загонов = (продолжительность пастбищного периода /допустимая продолжительность пребывания скота в загоне / число циклов стравливания) /1,5, то есть 180/6/2=15.</w:t>
      </w:r>
    </w:p>
    <w:bookmarkEnd w:id="29"/>
    <w:bookmarkStart w:name="z35" w:id="30"/>
    <w:p>
      <w:pPr>
        <w:spacing w:after="0"/>
        <w:ind w:left="0"/>
        <w:jc w:val="both"/>
      </w:pPr>
      <w:r>
        <w:rPr>
          <w:rFonts w:ascii="Times New Roman"/>
          <w:b w:val="false"/>
          <w:i w:val="false"/>
          <w:color w:val="000000"/>
          <w:sz w:val="28"/>
        </w:rPr>
        <w:t>
      В трехпольном пастбищеобороте предусматривается в среднем двукратное стравливание травостоя. При продолжительности пастбищного периода 180 дней и пребывании скота в загоне не более 6 дней, общее количество загонов в пастбищеобороте составит 15, а на поле 5.</w:t>
      </w:r>
    </w:p>
    <w:bookmarkEnd w:id="30"/>
    <w:bookmarkStart w:name="z36" w:id="31"/>
    <w:p>
      <w:pPr>
        <w:spacing w:after="0"/>
        <w:ind w:left="0"/>
        <w:jc w:val="both"/>
      </w:pPr>
      <w:r>
        <w:rPr>
          <w:rFonts w:ascii="Times New Roman"/>
          <w:b w:val="false"/>
          <w:i w:val="false"/>
          <w:color w:val="000000"/>
          <w:sz w:val="28"/>
        </w:rPr>
        <w:t>
      Расчет размера загона. Размер загона равен площади гуртового участка /количество загонов/.</w:t>
      </w:r>
    </w:p>
    <w:bookmarkEnd w:id="31"/>
    <w:bookmarkStart w:name="z37" w:id="32"/>
    <w:p>
      <w:pPr>
        <w:spacing w:after="0"/>
        <w:ind w:left="0"/>
        <w:jc w:val="both"/>
      </w:pPr>
      <w:r>
        <w:rPr>
          <w:rFonts w:ascii="Times New Roman"/>
          <w:b w:val="false"/>
          <w:i w:val="false"/>
          <w:color w:val="000000"/>
          <w:sz w:val="28"/>
        </w:rPr>
        <w:t>
      Для отары 100 голов, коров 600/15=40 гектара.</w:t>
      </w:r>
    </w:p>
    <w:bookmarkEnd w:id="32"/>
    <w:bookmarkStart w:name="z38" w:id="33"/>
    <w:p>
      <w:pPr>
        <w:spacing w:after="0"/>
        <w:ind w:left="0"/>
        <w:jc w:val="both"/>
      </w:pPr>
      <w:r>
        <w:rPr>
          <w:rFonts w:ascii="Times New Roman"/>
          <w:b w:val="false"/>
          <w:i w:val="false"/>
          <w:color w:val="000000"/>
          <w:sz w:val="28"/>
        </w:rPr>
        <w:t>
      Итого: трехпольный пастбищеоборот для 100 голов крупнорогатого скота; площадь пастбищеоборота 600 гектаров, площадь поля 200 гектаров, на каждом поле 5 загонов по 40 гектаров.</w:t>
      </w:r>
    </w:p>
    <w:bookmarkEnd w:id="33"/>
    <w:bookmarkStart w:name="z39" w:id="34"/>
    <w:p>
      <w:pPr>
        <w:spacing w:after="0"/>
        <w:ind w:left="0"/>
        <w:jc w:val="both"/>
      </w:pPr>
      <w:r>
        <w:rPr>
          <w:rFonts w:ascii="Times New Roman"/>
          <w:b w:val="false"/>
          <w:i w:val="false"/>
          <w:color w:val="000000"/>
          <w:sz w:val="28"/>
        </w:rPr>
        <w:t>
      Форма, длина и ширина поля имеет важное значение для организации рационального использования травостоя в системе загонов очередного стравливания.</w:t>
      </w:r>
    </w:p>
    <w:bookmarkEnd w:id="34"/>
    <w:bookmarkStart w:name="z40" w:id="35"/>
    <w:p>
      <w:pPr>
        <w:spacing w:after="0"/>
        <w:ind w:left="0"/>
        <w:jc w:val="both"/>
      </w:pPr>
      <w:r>
        <w:rPr>
          <w:rFonts w:ascii="Times New Roman"/>
          <w:b w:val="false"/>
          <w:i w:val="false"/>
          <w:color w:val="000000"/>
          <w:sz w:val="28"/>
        </w:rPr>
        <w:t>
      Размер поля пастбищеоборота на естественных пастбищах сухостепной зоны, рекомендуется в пределах 60-90 гектаров. В процессе выпаса на нем организуется 3-4 загона очередного стравливания.</w:t>
      </w:r>
    </w:p>
    <w:bookmarkEnd w:id="35"/>
    <w:bookmarkStart w:name="z41" w:id="36"/>
    <w:p>
      <w:pPr>
        <w:spacing w:after="0"/>
        <w:ind w:left="0"/>
        <w:jc w:val="both"/>
      </w:pPr>
      <w:r>
        <w:rPr>
          <w:rFonts w:ascii="Times New Roman"/>
          <w:b w:val="false"/>
          <w:i w:val="false"/>
          <w:color w:val="000000"/>
          <w:sz w:val="28"/>
        </w:rPr>
        <w:t>
      При размещении полей и загонов очередного стравливания важным требованием является сокращение холостых перегонов животных, на которые тратится много сил и энергии животных. Основными видами холостых перегонов животных являются перегоны между полями, загонами и летними лагерями, водопойным пунктом.</w:t>
      </w:r>
    </w:p>
    <w:bookmarkEnd w:id="36"/>
    <w:bookmarkStart w:name="z42" w:id="37"/>
    <w:p>
      <w:pPr>
        <w:spacing w:after="0"/>
        <w:ind w:left="0"/>
        <w:jc w:val="both"/>
      </w:pPr>
      <w:r>
        <w:rPr>
          <w:rFonts w:ascii="Times New Roman"/>
          <w:b w:val="false"/>
          <w:i w:val="false"/>
          <w:color w:val="000000"/>
          <w:sz w:val="28"/>
        </w:rPr>
        <w:t>
      Порядок стравливания. В первую очередь целесообразно стравливать те участки, где травы близки к выколачиванию. Если траву стравливают в неогороженных загонах, следует широко применять способ пастьбы "из-под ноги", дающий лучшие результаты. При этом способе стадо идет медленно и сдерживается пастухом, поэтому весь травостой поедается равномерно. С утра необходимо проводить стадо по площади с худшим травостоем или не совсем использованным в предыдущие дни. Проголодавшиеся за ночь животные лучше поедают менее съедобные травы, чем во второй половине дня, когда их переводят на свежий участок.</w:t>
      </w:r>
    </w:p>
    <w:bookmarkEnd w:id="37"/>
    <w:bookmarkStart w:name="z43" w:id="38"/>
    <w:p>
      <w:pPr>
        <w:spacing w:after="0"/>
        <w:ind w:left="0"/>
        <w:jc w:val="both"/>
      </w:pPr>
      <w:r>
        <w:rPr>
          <w:rFonts w:ascii="Times New Roman"/>
          <w:b w:val="false"/>
          <w:i w:val="false"/>
          <w:color w:val="000000"/>
          <w:sz w:val="28"/>
        </w:rPr>
        <w:t>
      Для сохранения и повышения продуктивности пастбищ, улучшения ботанического травостоя, снижения эродированности или ее предотвращения приемлемая схема пастбищеоборотов на землях города Жезказган (Кенгирский сельский округ, Сарыкенгирский сельский округ, Талапский сельский округ), является четырехпольная схема. Формирование гуртов производится по половозрастным группам, в соответствии с зооветеринарными требованиями. Площади пастбищеоборотных массивов устанавливаются с учетом обеспеченности групп скота потребным количеством земляных кормов, создания благоприятных условий при организации выпаса скота, соблюдения допустимых радиусов водопоя выпасываемых видов и групп скота, степени выбитости пастбищ. Пастбищеобороты закрепляются за каждой выпасной группой. Гуртам коров отводятся естественные пастбища, близлежащие к населенному пункту. Овцам и лошадям отведены более отдаленные пастбищные угодья. Конфигурация гуртовых, отарных и табунных участков, по возможности выдерживаются компактно. Границы участков приурочиваются к ярко выраженным контурам и живым урочищам.</w:t>
      </w:r>
    </w:p>
    <w:bookmarkEnd w:id="38"/>
    <w:bookmarkStart w:name="z44" w:id="39"/>
    <w:p>
      <w:pPr>
        <w:spacing w:after="0"/>
        <w:ind w:left="0"/>
        <w:jc w:val="both"/>
      </w:pPr>
      <w:r>
        <w:rPr>
          <w:rFonts w:ascii="Times New Roman"/>
          <w:b w:val="false"/>
          <w:i w:val="false"/>
          <w:color w:val="000000"/>
          <w:sz w:val="28"/>
        </w:rPr>
        <w:t>
      Чтобы прокормить имеющееся в сельском округе поголовье рекомендуется многократное стравливание пастбищ. Многократное стравливание, хотя и способствует полному использованию травостоя, приводит к тому, что пастбища постепенно, из года в год снижают свою продуктивность и ухудшают кормовые качества.</w:t>
      </w:r>
    </w:p>
    <w:bookmarkEnd w:id="39"/>
    <w:bookmarkStart w:name="z45" w:id="40"/>
    <w:p>
      <w:pPr>
        <w:spacing w:after="0"/>
        <w:ind w:left="0"/>
        <w:jc w:val="both"/>
      </w:pPr>
      <w:r>
        <w:rPr>
          <w:rFonts w:ascii="Times New Roman"/>
          <w:b w:val="false"/>
          <w:i w:val="false"/>
          <w:color w:val="000000"/>
          <w:sz w:val="28"/>
        </w:rPr>
        <w:t>
      На основании вышеизложенного разработаны приемлемые схемы пастбище оборотов:</w:t>
      </w:r>
    </w:p>
    <w:bookmarkEnd w:id="40"/>
    <w:bookmarkStart w:name="z46" w:id="41"/>
    <w:p>
      <w:pPr>
        <w:spacing w:after="0"/>
        <w:ind w:left="0"/>
        <w:jc w:val="both"/>
      </w:pPr>
      <w:r>
        <w:rPr>
          <w:rFonts w:ascii="Times New Roman"/>
          <w:b w:val="false"/>
          <w:i w:val="false"/>
          <w:color w:val="000000"/>
          <w:sz w:val="28"/>
        </w:rPr>
        <w:t>
      трехгодовой трехпольный пастбищеоборот по 5 загонов в каждом поле. Чередование использования по годам:</w:t>
      </w:r>
    </w:p>
    <w:bookmarkEnd w:id="41"/>
    <w:bookmarkStart w:name="z47" w:id="42"/>
    <w:p>
      <w:pPr>
        <w:spacing w:after="0"/>
        <w:ind w:left="0"/>
        <w:jc w:val="both"/>
      </w:pPr>
      <w:r>
        <w:rPr>
          <w:rFonts w:ascii="Times New Roman"/>
          <w:b w:val="false"/>
          <w:i w:val="false"/>
          <w:color w:val="000000"/>
          <w:sz w:val="28"/>
        </w:rPr>
        <w:t>
      первый год – трехкратное стравливание, первое стравливание начинается с весны и заканчивается 15 июня;</w:t>
      </w:r>
    </w:p>
    <w:bookmarkEnd w:id="42"/>
    <w:bookmarkStart w:name="z48" w:id="43"/>
    <w:p>
      <w:pPr>
        <w:spacing w:after="0"/>
        <w:ind w:left="0"/>
        <w:jc w:val="both"/>
      </w:pPr>
      <w:r>
        <w:rPr>
          <w:rFonts w:ascii="Times New Roman"/>
          <w:b w:val="false"/>
          <w:i w:val="false"/>
          <w:color w:val="000000"/>
          <w:sz w:val="28"/>
        </w:rPr>
        <w:t>
      второй год – стравливание в сентябре-октябре;</w:t>
      </w:r>
    </w:p>
    <w:bookmarkEnd w:id="43"/>
    <w:bookmarkStart w:name="z49" w:id="44"/>
    <w:p>
      <w:pPr>
        <w:spacing w:after="0"/>
        <w:ind w:left="0"/>
        <w:jc w:val="both"/>
      </w:pPr>
      <w:r>
        <w:rPr>
          <w:rFonts w:ascii="Times New Roman"/>
          <w:b w:val="false"/>
          <w:i w:val="false"/>
          <w:color w:val="000000"/>
          <w:sz w:val="28"/>
        </w:rPr>
        <w:t>
      третий год – стравливание в июле - первой половине августа.</w:t>
      </w:r>
    </w:p>
    <w:bookmarkEnd w:id="44"/>
    <w:bookmarkStart w:name="z50" w:id="45"/>
    <w:p>
      <w:pPr>
        <w:spacing w:after="0"/>
        <w:ind w:left="0"/>
        <w:jc w:val="both"/>
      </w:pPr>
      <w:r>
        <w:rPr>
          <w:rFonts w:ascii="Times New Roman"/>
          <w:b w:val="false"/>
          <w:i w:val="false"/>
          <w:color w:val="000000"/>
          <w:sz w:val="28"/>
        </w:rPr>
        <w:t>
      Для удобства проведения различных подсчетов, касающихся выпаса скота, применяется условная единица для сравнения или суммирования животных различных видов скота.</w:t>
      </w:r>
    </w:p>
    <w:bookmarkEnd w:id="45"/>
    <w:bookmarkStart w:name="z51" w:id="46"/>
    <w:p>
      <w:pPr>
        <w:spacing w:after="0"/>
        <w:ind w:left="0"/>
        <w:jc w:val="both"/>
      </w:pPr>
      <w:r>
        <w:rPr>
          <w:rFonts w:ascii="Times New Roman"/>
          <w:b w:val="false"/>
          <w:i w:val="false"/>
          <w:color w:val="000000"/>
          <w:sz w:val="28"/>
        </w:rPr>
        <w:t>
      Условная голова сельскохозяйственных животных – это единица, используемая для сравнения количества различного вида и категорий животных. Эквивалентность определяется на основе потребности животных в кормах.</w:t>
      </w:r>
    </w:p>
    <w:bookmarkEnd w:id="46"/>
    <w:bookmarkStart w:name="z52" w:id="47"/>
    <w:p>
      <w:pPr>
        <w:spacing w:after="0"/>
        <w:ind w:left="0"/>
        <w:jc w:val="left"/>
      </w:pPr>
      <w:r>
        <w:rPr>
          <w:rFonts w:ascii="Times New Roman"/>
          <w:b/>
          <w:i w:val="false"/>
          <w:color w:val="000000"/>
        </w:rPr>
        <w:t xml:space="preserve"> Коэффициент пересчета в условные головы сельскохозяйственных животных</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животных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перевода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и верблюды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3" w:id="48"/>
    <w:p>
      <w:pPr>
        <w:spacing w:after="0"/>
        <w:ind w:left="0"/>
        <w:jc w:val="left"/>
      </w:pPr>
      <w:r>
        <w:rPr>
          <w:rFonts w:ascii="Times New Roman"/>
          <w:b/>
          <w:i w:val="false"/>
          <w:color w:val="000000"/>
        </w:rPr>
        <w:t xml:space="preserve"> Сведения о водопоях сельскохозяйственных животных</w:t>
      </w:r>
    </w:p>
    <w:bookmarkEnd w:id="48"/>
    <w:bookmarkStart w:name="z54" w:id="49"/>
    <w:p>
      <w:pPr>
        <w:spacing w:after="0"/>
        <w:ind w:left="0"/>
        <w:jc w:val="both"/>
      </w:pPr>
      <w:r>
        <w:rPr>
          <w:rFonts w:ascii="Times New Roman"/>
          <w:b w:val="false"/>
          <w:i w:val="false"/>
          <w:color w:val="000000"/>
          <w:sz w:val="28"/>
        </w:rPr>
        <w:t>
      Водопойные пункты размещаются с учетом видов и групп выпасного поголовья животных, сезонности их использования участков, рельефа местности. При размещении водоисточников необходимо учитывать удобные подходы к водопою и соблюдать санитарно-профилактические правила. В этих целях нельзя допускать размещение водоисточников на заболоченных, затапливаемых и загрязненных участках, а также проектировать к обслуживанию из одного водопойного пункта не более 250 голов крупного рогатого скота или 2000 овец.</w:t>
      </w:r>
    </w:p>
    <w:bookmarkEnd w:id="49"/>
    <w:bookmarkStart w:name="z55" w:id="50"/>
    <w:p>
      <w:pPr>
        <w:spacing w:after="0"/>
        <w:ind w:left="0"/>
        <w:jc w:val="both"/>
      </w:pPr>
      <w:r>
        <w:rPr>
          <w:rFonts w:ascii="Times New Roman"/>
          <w:b w:val="false"/>
          <w:i w:val="false"/>
          <w:color w:val="000000"/>
          <w:sz w:val="28"/>
        </w:rPr>
        <w:t>
      Исходя из вышеизложенного сельскохозяйственные животные в зоне пастбищ имеют свободный доступ к водным объектам. Вместе с тем в отдельных участках используются специально отведенные места на водных объектах, соответствующим образом оборудованные для водопоя сельскохозяйственных животных.</w:t>
      </w:r>
    </w:p>
    <w:bookmarkEnd w:id="50"/>
    <w:bookmarkStart w:name="z56" w:id="51"/>
    <w:p>
      <w:pPr>
        <w:spacing w:after="0"/>
        <w:ind w:left="0"/>
        <w:jc w:val="both"/>
      </w:pPr>
      <w:r>
        <w:rPr>
          <w:rFonts w:ascii="Times New Roman"/>
          <w:b w:val="false"/>
          <w:i w:val="false"/>
          <w:color w:val="000000"/>
          <w:sz w:val="28"/>
        </w:rPr>
        <w:t>
      Источниками пастбищного водоснабжения являются естественные водоемы, такие как реки, озера и пруды с проточной водой.</w:t>
      </w:r>
    </w:p>
    <w:bookmarkEnd w:id="51"/>
    <w:bookmarkStart w:name="z57" w:id="52"/>
    <w:p>
      <w:pPr>
        <w:spacing w:after="0"/>
        <w:ind w:left="0"/>
        <w:jc w:val="both"/>
      </w:pPr>
      <w:r>
        <w:rPr>
          <w:rFonts w:ascii="Times New Roman"/>
          <w:b w:val="false"/>
          <w:i w:val="false"/>
          <w:color w:val="000000"/>
          <w:sz w:val="28"/>
        </w:rPr>
        <w:t>
      Расчет потребности в воде по видам сельскохозяйственных животных и сезонам года производится по следующим нормам:</w:t>
      </w:r>
    </w:p>
    <w:bookmarkEnd w:id="52"/>
    <w:bookmarkStart w:name="z58" w:id="53"/>
    <w:p>
      <w:pPr>
        <w:spacing w:after="0"/>
        <w:ind w:left="0"/>
        <w:jc w:val="both"/>
      </w:pPr>
      <w:r>
        <w:rPr>
          <w:rFonts w:ascii="Times New Roman"/>
          <w:b w:val="false"/>
          <w:i w:val="false"/>
          <w:color w:val="000000"/>
          <w:sz w:val="28"/>
        </w:rPr>
        <w:t>
      для крупного рогатого скота и лошадей – 45 – 60 литров;</w:t>
      </w:r>
    </w:p>
    <w:bookmarkEnd w:id="53"/>
    <w:bookmarkStart w:name="z59" w:id="54"/>
    <w:p>
      <w:pPr>
        <w:spacing w:after="0"/>
        <w:ind w:left="0"/>
        <w:jc w:val="both"/>
      </w:pPr>
      <w:r>
        <w:rPr>
          <w:rFonts w:ascii="Times New Roman"/>
          <w:b w:val="false"/>
          <w:i w:val="false"/>
          <w:color w:val="000000"/>
          <w:sz w:val="28"/>
        </w:rPr>
        <w:t>
      для молодняка в возрасте 1-2 года – 25 – 35 литров;</w:t>
      </w:r>
    </w:p>
    <w:bookmarkEnd w:id="54"/>
    <w:bookmarkStart w:name="z60" w:id="55"/>
    <w:p>
      <w:pPr>
        <w:spacing w:after="0"/>
        <w:ind w:left="0"/>
        <w:jc w:val="both"/>
      </w:pPr>
      <w:r>
        <w:rPr>
          <w:rFonts w:ascii="Times New Roman"/>
          <w:b w:val="false"/>
          <w:i w:val="false"/>
          <w:color w:val="000000"/>
          <w:sz w:val="28"/>
        </w:rPr>
        <w:t>
      для молодняка младше одного года – 10 – 15 литров;</w:t>
      </w:r>
    </w:p>
    <w:bookmarkEnd w:id="55"/>
    <w:bookmarkStart w:name="z61" w:id="56"/>
    <w:p>
      <w:pPr>
        <w:spacing w:after="0"/>
        <w:ind w:left="0"/>
        <w:jc w:val="both"/>
      </w:pPr>
      <w:r>
        <w:rPr>
          <w:rFonts w:ascii="Times New Roman"/>
          <w:b w:val="false"/>
          <w:i w:val="false"/>
          <w:color w:val="000000"/>
          <w:sz w:val="28"/>
        </w:rPr>
        <w:t>
      для овец и коз – 3 – 5 литров;</w:t>
      </w:r>
    </w:p>
    <w:bookmarkEnd w:id="56"/>
    <w:bookmarkStart w:name="z62" w:id="57"/>
    <w:p>
      <w:pPr>
        <w:spacing w:after="0"/>
        <w:ind w:left="0"/>
        <w:jc w:val="both"/>
      </w:pPr>
      <w:r>
        <w:rPr>
          <w:rFonts w:ascii="Times New Roman"/>
          <w:b w:val="false"/>
          <w:i w:val="false"/>
          <w:color w:val="000000"/>
          <w:sz w:val="28"/>
        </w:rPr>
        <w:t>
      для ягнят – 1-2 литра.</w:t>
      </w:r>
    </w:p>
    <w:bookmarkEnd w:id="57"/>
    <w:bookmarkStart w:name="z63" w:id="58"/>
    <w:p>
      <w:pPr>
        <w:spacing w:after="0"/>
        <w:ind w:left="0"/>
        <w:jc w:val="both"/>
      </w:pPr>
      <w:r>
        <w:rPr>
          <w:rFonts w:ascii="Times New Roman"/>
          <w:b w:val="false"/>
          <w:i w:val="false"/>
          <w:color w:val="000000"/>
          <w:sz w:val="28"/>
        </w:rPr>
        <w:t>
      Допустимое расстояние от пастбища до водопоя составляет:</w:t>
      </w:r>
    </w:p>
    <w:bookmarkEnd w:id="58"/>
    <w:bookmarkStart w:name="z64" w:id="59"/>
    <w:p>
      <w:pPr>
        <w:spacing w:after="0"/>
        <w:ind w:left="0"/>
        <w:jc w:val="both"/>
      </w:pPr>
      <w:r>
        <w:rPr>
          <w:rFonts w:ascii="Times New Roman"/>
          <w:b w:val="false"/>
          <w:i w:val="false"/>
          <w:color w:val="000000"/>
          <w:sz w:val="28"/>
        </w:rPr>
        <w:t>
      для коров – 2,5 км;</w:t>
      </w:r>
    </w:p>
    <w:bookmarkEnd w:id="59"/>
    <w:bookmarkStart w:name="z65" w:id="60"/>
    <w:p>
      <w:pPr>
        <w:spacing w:after="0"/>
        <w:ind w:left="0"/>
        <w:jc w:val="both"/>
      </w:pPr>
      <w:r>
        <w:rPr>
          <w:rFonts w:ascii="Times New Roman"/>
          <w:b w:val="false"/>
          <w:i w:val="false"/>
          <w:color w:val="000000"/>
          <w:sz w:val="28"/>
        </w:rPr>
        <w:t>
      для телят – 1 км;</w:t>
      </w:r>
    </w:p>
    <w:bookmarkEnd w:id="60"/>
    <w:bookmarkStart w:name="z66" w:id="61"/>
    <w:p>
      <w:pPr>
        <w:spacing w:after="0"/>
        <w:ind w:left="0"/>
        <w:jc w:val="both"/>
      </w:pPr>
      <w:r>
        <w:rPr>
          <w:rFonts w:ascii="Times New Roman"/>
          <w:b w:val="false"/>
          <w:i w:val="false"/>
          <w:color w:val="000000"/>
          <w:sz w:val="28"/>
        </w:rPr>
        <w:t>
      для молодняка крупного рогатого скота – 2,5 км;</w:t>
      </w:r>
    </w:p>
    <w:bookmarkEnd w:id="61"/>
    <w:bookmarkStart w:name="z67" w:id="62"/>
    <w:p>
      <w:pPr>
        <w:spacing w:after="0"/>
        <w:ind w:left="0"/>
        <w:jc w:val="both"/>
      </w:pPr>
      <w:r>
        <w:rPr>
          <w:rFonts w:ascii="Times New Roman"/>
          <w:b w:val="false"/>
          <w:i w:val="false"/>
          <w:color w:val="000000"/>
          <w:sz w:val="28"/>
        </w:rPr>
        <w:t>
      для овец и коз – 3 км;</w:t>
      </w:r>
    </w:p>
    <w:bookmarkEnd w:id="62"/>
    <w:bookmarkStart w:name="z68" w:id="63"/>
    <w:p>
      <w:pPr>
        <w:spacing w:after="0"/>
        <w:ind w:left="0"/>
        <w:jc w:val="both"/>
      </w:pPr>
      <w:r>
        <w:rPr>
          <w:rFonts w:ascii="Times New Roman"/>
          <w:b w:val="false"/>
          <w:i w:val="false"/>
          <w:color w:val="000000"/>
          <w:sz w:val="28"/>
        </w:rPr>
        <w:t>
      для лошадей и верблюдов – до 4,6 км.</w:t>
      </w:r>
    </w:p>
    <w:bookmarkEnd w:id="63"/>
    <w:bookmarkStart w:name="z69" w:id="64"/>
    <w:p>
      <w:pPr>
        <w:spacing w:after="0"/>
        <w:ind w:left="0"/>
        <w:jc w:val="both"/>
      </w:pPr>
      <w:r>
        <w:rPr>
          <w:rFonts w:ascii="Times New Roman"/>
          <w:b w:val="false"/>
          <w:i w:val="false"/>
          <w:color w:val="000000"/>
          <w:sz w:val="28"/>
        </w:rPr>
        <w:t>
      Пастбищные угодья на землях города Жезказган (Кенгирский сельский округ, Сарыкенгирский сельский округ, Талапский сельский округ) в основном полностью обеспечены водой.</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 по республиканскому систематическому списку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почвы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Светло- каштановые неполноразвитые почвы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Светло- каштановые малоразвитые почвы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Луговые светло-каштановые среднемощные почвы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Темно - каштановые малоразвитые почвы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Лугово - каштановые слабосолонцеватые среднемощные почвы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Солонцы средне каштановые мелкие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Солонцы каштановые глубокие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Солонцы луговые светло - каштановые мелкие </w:t>
            </w:r>
          </w:p>
        </w:tc>
      </w:tr>
    </w:tbl>
    <w:bookmarkStart w:name="z71" w:id="65"/>
    <w:p>
      <w:pPr>
        <w:spacing w:after="0"/>
        <w:ind w:left="0"/>
        <w:jc w:val="both"/>
      </w:pPr>
      <w:r>
        <w:rPr>
          <w:rFonts w:ascii="Times New Roman"/>
          <w:b w:val="false"/>
          <w:i w:val="false"/>
          <w:color w:val="000000"/>
          <w:sz w:val="28"/>
        </w:rPr>
        <w:t>
      Преобладающие типы пастбищ:</w:t>
      </w:r>
    </w:p>
    <w:bookmarkEnd w:id="65"/>
    <w:bookmarkStart w:name="z72" w:id="66"/>
    <w:p>
      <w:pPr>
        <w:spacing w:after="0"/>
        <w:ind w:left="0"/>
        <w:jc w:val="both"/>
      </w:pPr>
      <w:r>
        <w:rPr>
          <w:rFonts w:ascii="Times New Roman"/>
          <w:b w:val="false"/>
          <w:i w:val="false"/>
          <w:color w:val="000000"/>
          <w:sz w:val="28"/>
        </w:rPr>
        <w:t>
      полынно-боялычевые;</w:t>
      </w:r>
    </w:p>
    <w:bookmarkEnd w:id="66"/>
    <w:bookmarkStart w:name="z73" w:id="67"/>
    <w:p>
      <w:pPr>
        <w:spacing w:after="0"/>
        <w:ind w:left="0"/>
        <w:jc w:val="both"/>
      </w:pPr>
      <w:r>
        <w:rPr>
          <w:rFonts w:ascii="Times New Roman"/>
          <w:b w:val="false"/>
          <w:i w:val="false"/>
          <w:color w:val="000000"/>
          <w:sz w:val="28"/>
        </w:rPr>
        <w:t>
      кокпеково-полынные;</w:t>
      </w:r>
    </w:p>
    <w:bookmarkEnd w:id="67"/>
    <w:bookmarkStart w:name="z74" w:id="68"/>
    <w:p>
      <w:pPr>
        <w:spacing w:after="0"/>
        <w:ind w:left="0"/>
        <w:jc w:val="both"/>
      </w:pPr>
      <w:r>
        <w:rPr>
          <w:rFonts w:ascii="Times New Roman"/>
          <w:b w:val="false"/>
          <w:i w:val="false"/>
          <w:color w:val="000000"/>
          <w:sz w:val="28"/>
        </w:rPr>
        <w:t>
      ковыльно - типчаковые с кустарниками;</w:t>
      </w:r>
    </w:p>
    <w:bookmarkEnd w:id="68"/>
    <w:bookmarkStart w:name="z75" w:id="69"/>
    <w:p>
      <w:pPr>
        <w:spacing w:after="0"/>
        <w:ind w:left="0"/>
        <w:jc w:val="both"/>
      </w:pPr>
      <w:r>
        <w:rPr>
          <w:rFonts w:ascii="Times New Roman"/>
          <w:b w:val="false"/>
          <w:i w:val="false"/>
          <w:color w:val="000000"/>
          <w:sz w:val="28"/>
        </w:rPr>
        <w:t>
      типчаково - ковыльное с кустарниками;</w:t>
      </w:r>
    </w:p>
    <w:bookmarkEnd w:id="69"/>
    <w:bookmarkStart w:name="z76" w:id="70"/>
    <w:p>
      <w:pPr>
        <w:spacing w:after="0"/>
        <w:ind w:left="0"/>
        <w:jc w:val="both"/>
      </w:pPr>
      <w:r>
        <w:rPr>
          <w:rFonts w:ascii="Times New Roman"/>
          <w:b w:val="false"/>
          <w:i w:val="false"/>
          <w:color w:val="000000"/>
          <w:sz w:val="28"/>
        </w:rPr>
        <w:t>
      типчаково – ковыльно - холоднополынные с кустарниками;</w:t>
      </w:r>
    </w:p>
    <w:bookmarkEnd w:id="70"/>
    <w:bookmarkStart w:name="z77" w:id="71"/>
    <w:p>
      <w:pPr>
        <w:spacing w:after="0"/>
        <w:ind w:left="0"/>
        <w:jc w:val="both"/>
      </w:pPr>
      <w:r>
        <w:rPr>
          <w:rFonts w:ascii="Times New Roman"/>
          <w:b w:val="false"/>
          <w:i w:val="false"/>
          <w:color w:val="000000"/>
          <w:sz w:val="28"/>
        </w:rPr>
        <w:t>
      типчаково – холоднополынные;</w:t>
      </w:r>
    </w:p>
    <w:bookmarkEnd w:id="71"/>
    <w:bookmarkStart w:name="z78" w:id="72"/>
    <w:p>
      <w:pPr>
        <w:spacing w:after="0"/>
        <w:ind w:left="0"/>
        <w:jc w:val="both"/>
      </w:pPr>
      <w:r>
        <w:rPr>
          <w:rFonts w:ascii="Times New Roman"/>
          <w:b w:val="false"/>
          <w:i w:val="false"/>
          <w:color w:val="000000"/>
          <w:sz w:val="28"/>
        </w:rPr>
        <w:t>
      злаково - разнотравные с кустарниками;</w:t>
      </w:r>
    </w:p>
    <w:bookmarkEnd w:id="72"/>
    <w:bookmarkStart w:name="z79" w:id="73"/>
    <w:p>
      <w:pPr>
        <w:spacing w:after="0"/>
        <w:ind w:left="0"/>
        <w:jc w:val="both"/>
      </w:pPr>
      <w:r>
        <w:rPr>
          <w:rFonts w:ascii="Times New Roman"/>
          <w:b w:val="false"/>
          <w:i w:val="false"/>
          <w:color w:val="000000"/>
          <w:sz w:val="28"/>
        </w:rPr>
        <w:t>
      чиево – вострецовые;</w:t>
      </w:r>
    </w:p>
    <w:bookmarkEnd w:id="73"/>
    <w:bookmarkStart w:name="z80" w:id="74"/>
    <w:p>
      <w:pPr>
        <w:spacing w:after="0"/>
        <w:ind w:left="0"/>
        <w:jc w:val="both"/>
      </w:pPr>
      <w:r>
        <w:rPr>
          <w:rFonts w:ascii="Times New Roman"/>
          <w:b w:val="false"/>
          <w:i w:val="false"/>
          <w:color w:val="000000"/>
          <w:sz w:val="28"/>
        </w:rPr>
        <w:t>
      вострецовые с караганой;</w:t>
      </w:r>
    </w:p>
    <w:bookmarkEnd w:id="74"/>
    <w:bookmarkStart w:name="z81" w:id="75"/>
    <w:p>
      <w:pPr>
        <w:spacing w:after="0"/>
        <w:ind w:left="0"/>
        <w:jc w:val="both"/>
      </w:pPr>
      <w:r>
        <w:rPr>
          <w:rFonts w:ascii="Times New Roman"/>
          <w:b w:val="false"/>
          <w:i w:val="false"/>
          <w:color w:val="000000"/>
          <w:sz w:val="28"/>
        </w:rPr>
        <w:t>
      караганово - типчаковые.</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категории земель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сельскохозяйственного назначения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538 148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населенных пунктов (городов, поселков и сельских населенных пунктов)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75 438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8 179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особо охраняемых природных территорий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2 263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лесного фонда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водного фонда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5 231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запаса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228 630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858 872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Населенный пункт, сельский округ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Начало сезона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Окончание сезона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Кенгирский сельский округ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Конец апреля-начало мая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Конец октября-начало ноября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Сарыкенгирский сельский округ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Конец апреля-начало мая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Конец октября-начало ноября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Талапский сельский округ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Конец апреля-начало мая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Конец октября-начало ноября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города, сельского округа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пункт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Откормочные площадки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искусственного осеменения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Кенгирский сельский округ, село Кенгир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Сарыкенгирский сельский округ, село Малшыбай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Талапский сельский округ, село Талап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Населенный пункт, сельский округ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рогатый скот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Молодняк крупный рогатый скот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Мелкий рогатый скот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Кенгирский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12427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Сарыкенгирский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25468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15453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Населенный пункт, сельский округ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гуртов, отар, табунов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Крупный рогатый скот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Молодняк крупный рогатый скот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Мелкий рогатый скот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Лошади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Кенгирский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Сарыкенгирский сельский округ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Талапский сельский округ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bookmarkStart w:name="z88" w:id="76"/>
    <w:p>
      <w:pPr>
        <w:spacing w:after="0"/>
        <w:ind w:left="0"/>
        <w:jc w:val="left"/>
      </w:pPr>
      <w:r>
        <w:rPr>
          <w:rFonts w:ascii="Times New Roman"/>
          <w:b/>
          <w:i w:val="false"/>
          <w:color w:val="000000"/>
        </w:rPr>
        <w:t xml:space="preserve"> Схема (карта) расположения пастбищ на территории земли города Жезказган в разрезе категорий земель, собственников земельных участков и землепользователей на основании правоустанавливающих документов</w:t>
      </w:r>
    </w:p>
    <w:bookmarkEnd w:id="76"/>
    <w:bookmarkStart w:name="z89"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67183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18300" cy="793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8"/>
    <w:p>
      <w:pPr>
        <w:spacing w:after="0"/>
        <w:ind w:left="0"/>
        <w:jc w:val="both"/>
      </w:pPr>
      <w:r>
        <w:rPr>
          <w:rFonts w:ascii="Times New Roman"/>
          <w:b w:val="false"/>
          <w:i w:val="false"/>
          <w:color w:val="000000"/>
          <w:sz w:val="28"/>
        </w:rPr>
        <w:t xml:space="preserve">
       </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bookmarkStart w:name="z92" w:id="79"/>
    <w:p>
      <w:pPr>
        <w:spacing w:after="0"/>
        <w:ind w:left="0"/>
        <w:jc w:val="left"/>
      </w:pPr>
      <w:r>
        <w:rPr>
          <w:rFonts w:ascii="Times New Roman"/>
          <w:b/>
          <w:i w:val="false"/>
          <w:color w:val="000000"/>
        </w:rPr>
        <w:t xml:space="preserve"> Схема (карта) расположения пастбищ на территории земель запаса города Жезказган в разрезе категорий земель, собственников земельных участков и землепользователей на основании правоустанавливающих документов</w:t>
      </w:r>
    </w:p>
    <w:bookmarkEnd w:id="79"/>
    <w:bookmarkStart w:name="z93"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62357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357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bookmarkStart w:name="z95" w:id="81"/>
    <w:p>
      <w:pPr>
        <w:spacing w:after="0"/>
        <w:ind w:left="0"/>
        <w:jc w:val="left"/>
      </w:pPr>
      <w:r>
        <w:rPr>
          <w:rFonts w:ascii="Times New Roman"/>
          <w:b/>
          <w:i w:val="false"/>
          <w:color w:val="000000"/>
        </w:rPr>
        <w:t xml:space="preserve"> Схема (карта) расположения пастбищ на территории Кенгирского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bookmarkEnd w:id="81"/>
    <w:bookmarkStart w:name="z96"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1120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120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bookmarkStart w:name="z98" w:id="83"/>
    <w:p>
      <w:pPr>
        <w:spacing w:after="0"/>
        <w:ind w:left="0"/>
        <w:jc w:val="left"/>
      </w:pPr>
      <w:r>
        <w:rPr>
          <w:rFonts w:ascii="Times New Roman"/>
          <w:b/>
          <w:i w:val="false"/>
          <w:color w:val="000000"/>
        </w:rPr>
        <w:t xml:space="preserve"> Схема (карта) расположения пастбищ на территории Сарыкенгирского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bookmarkEnd w:id="83"/>
    <w:bookmarkStart w:name="z99"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6581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581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bookmarkStart w:name="z101" w:id="85"/>
    <w:p>
      <w:pPr>
        <w:spacing w:after="0"/>
        <w:ind w:left="0"/>
        <w:jc w:val="left"/>
      </w:pPr>
      <w:r>
        <w:rPr>
          <w:rFonts w:ascii="Times New Roman"/>
          <w:b/>
          <w:i w:val="false"/>
          <w:color w:val="000000"/>
        </w:rPr>
        <w:t xml:space="preserve"> Схема (карта) расположения пастбищ на территории Талапского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bookmarkEnd w:id="85"/>
    <w:bookmarkStart w:name="z102"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493000" cy="528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93000" cy="528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bookmarkStart w:name="z104" w:id="87"/>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объектов пастбищной инфраструктуры на землях города Жезказган</w:t>
      </w:r>
    </w:p>
    <w:bookmarkEnd w:id="87"/>
    <w:bookmarkStart w:name="z105"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66929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92900" cy="844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89"/>
    <w:p>
      <w:pPr>
        <w:spacing w:after="0"/>
        <w:ind w:left="0"/>
        <w:jc w:val="both"/>
      </w:pPr>
      <w:r>
        <w:rPr>
          <w:rFonts w:ascii="Times New Roman"/>
          <w:b w:val="false"/>
          <w:i w:val="false"/>
          <w:color w:val="000000"/>
          <w:sz w:val="28"/>
        </w:rPr>
        <w:t xml:space="preserve">
       </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bookmarkStart w:name="z108" w:id="90"/>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объектов пастбищной инфраструктуры на землях запаса города Жезказган</w:t>
      </w:r>
    </w:p>
    <w:bookmarkEnd w:id="90"/>
    <w:bookmarkStart w:name="z109"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69342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342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bookmarkStart w:name="z111" w:id="92"/>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объектов пастбищной инфраструктуры на землях запаса Кенгирского сельского округа</w:t>
      </w:r>
    </w:p>
    <w:bookmarkEnd w:id="92"/>
    <w:bookmarkStart w:name="z112"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2390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390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bookmarkStart w:name="z114" w:id="94"/>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объектов пастбищной инфраструктуры на землях запаса Сарыкенгирского сельского округа</w:t>
      </w:r>
    </w:p>
    <w:bookmarkEnd w:id="94"/>
    <w:bookmarkStart w:name="z115"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2517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517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bookmarkStart w:name="z117" w:id="96"/>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объектов пастбищной инфраструктуры на землях запаса Талапского сельского округа</w:t>
      </w:r>
    </w:p>
    <w:bookmarkEnd w:id="96"/>
    <w:bookmarkStart w:name="z118"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64770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4770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bookmarkStart w:name="z120" w:id="98"/>
    <w:p>
      <w:pPr>
        <w:spacing w:after="0"/>
        <w:ind w:left="0"/>
        <w:jc w:val="left"/>
      </w:pPr>
      <w:r>
        <w:rPr>
          <w:rFonts w:ascii="Times New Roman"/>
          <w:b/>
          <w:i w:val="false"/>
          <w:color w:val="000000"/>
        </w:rPr>
        <w:t xml:space="preserve"> Схема доступа пастбищепользователей к водным источникам на землях города Жезказган</w:t>
      </w:r>
    </w:p>
    <w:bookmarkEnd w:id="98"/>
    <w:bookmarkStart w:name="z121"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69469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469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bookmarkStart w:name="z123" w:id="100"/>
    <w:p>
      <w:pPr>
        <w:spacing w:after="0"/>
        <w:ind w:left="0"/>
        <w:jc w:val="left"/>
      </w:pPr>
      <w:r>
        <w:rPr>
          <w:rFonts w:ascii="Times New Roman"/>
          <w:b/>
          <w:i w:val="false"/>
          <w:color w:val="000000"/>
        </w:rPr>
        <w:t xml:space="preserve"> Схема доступа пастбищепользователей к водным источникам на землях запаса города Жезказган</w:t>
      </w:r>
    </w:p>
    <w:bookmarkEnd w:id="100"/>
    <w:bookmarkStart w:name="z124"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6832600" cy="864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832600" cy="864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bookmarkStart w:name="z126" w:id="102"/>
    <w:p>
      <w:pPr>
        <w:spacing w:after="0"/>
        <w:ind w:left="0"/>
        <w:jc w:val="left"/>
      </w:pPr>
      <w:r>
        <w:rPr>
          <w:rFonts w:ascii="Times New Roman"/>
          <w:b/>
          <w:i w:val="false"/>
          <w:color w:val="000000"/>
        </w:rPr>
        <w:t xml:space="preserve"> Схема доступа пастбищепользователей к водным источникам на территории Кенгирского сельского округа</w:t>
      </w:r>
    </w:p>
    <w:bookmarkEnd w:id="102"/>
    <w:bookmarkStart w:name="z127"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1628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628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bookmarkStart w:name="z129" w:id="104"/>
    <w:p>
      <w:pPr>
        <w:spacing w:after="0"/>
        <w:ind w:left="0"/>
        <w:jc w:val="left"/>
      </w:pPr>
      <w:r>
        <w:rPr>
          <w:rFonts w:ascii="Times New Roman"/>
          <w:b/>
          <w:i w:val="false"/>
          <w:color w:val="000000"/>
        </w:rPr>
        <w:t xml:space="preserve"> Схема доступа пастбищепользователей к водным источникам на территории Сарыкенгирского сельского округа</w:t>
      </w:r>
    </w:p>
    <w:bookmarkEnd w:id="104"/>
    <w:bookmarkStart w:name="z130"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68326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8326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bookmarkStart w:name="z132" w:id="106"/>
    <w:p>
      <w:pPr>
        <w:spacing w:after="0"/>
        <w:ind w:left="0"/>
        <w:jc w:val="left"/>
      </w:pPr>
      <w:r>
        <w:rPr>
          <w:rFonts w:ascii="Times New Roman"/>
          <w:b/>
          <w:i w:val="false"/>
          <w:color w:val="000000"/>
        </w:rPr>
        <w:t xml:space="preserve"> Схема доступа пастбищепользователей к водным источникам на территории Талапского сельского округа</w:t>
      </w:r>
    </w:p>
    <w:bookmarkEnd w:id="106"/>
    <w:bookmarkStart w:name="z133"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67437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7437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bookmarkStart w:name="z135" w:id="108"/>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пастбища на территории земли города Жезказган его на предоставляемые пастбища</w:t>
      </w:r>
    </w:p>
    <w:bookmarkEnd w:id="108"/>
    <w:bookmarkStart w:name="z136"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67437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743700" cy="855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bookmarkStart w:name="z138" w:id="110"/>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земли запаса города Жезказган</w:t>
      </w:r>
    </w:p>
    <w:bookmarkEnd w:id="110"/>
    <w:bookmarkStart w:name="z139"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69215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921500" cy="825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Плану по управлению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bookmarkStart w:name="z142" w:id="112"/>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земель Кенгирского сельского округа</w:t>
      </w:r>
    </w:p>
    <w:bookmarkEnd w:id="112"/>
    <w:bookmarkStart w:name="z143"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4422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4422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bookmarkStart w:name="z145" w:id="114"/>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земель Сарыкенгирского сельского округа</w:t>
      </w:r>
    </w:p>
    <w:bookmarkEnd w:id="114"/>
    <w:bookmarkStart w:name="z146"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69596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9596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на землях города Жезказган</w:t>
            </w:r>
            <w:r>
              <w:br/>
            </w:r>
            <w:r>
              <w:rPr>
                <w:rFonts w:ascii="Times New Roman"/>
                <w:b w:val="false"/>
                <w:i w:val="false"/>
                <w:color w:val="000000"/>
                <w:sz w:val="20"/>
              </w:rPr>
              <w:t>на 2023-2024 годы</w:t>
            </w:r>
          </w:p>
        </w:tc>
      </w:tr>
    </w:tbl>
    <w:bookmarkStart w:name="z148" w:id="116"/>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земель Талапского сельского округа</w:t>
      </w:r>
    </w:p>
    <w:bookmarkEnd w:id="116"/>
    <w:bookmarkStart w:name="z149"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67691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7691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