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f58305" w14:textId="9f5830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Бейнеускому району на 2023 - 2024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Бейнеуского районного маслихата Мангистауской области от 26 июня 2023 года № 4/47. Утратило силу решением Бейнеуского районного маслихата Мангистауской области от 22 октября 2024 года № 21/166.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Бейнеуского районного маслихата Мангистауской области от 22.10.2024 </w:t>
      </w:r>
      <w:r>
        <w:rPr>
          <w:rFonts w:ascii="Times New Roman"/>
          <w:b w:val="false"/>
          <w:i w:val="false"/>
          <w:color w:val="ff0000"/>
          <w:sz w:val="28"/>
        </w:rPr>
        <w:t>№ 21/166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 и "</w:t>
      </w:r>
      <w:r>
        <w:rPr>
          <w:rFonts w:ascii="Times New Roman"/>
          <w:b w:val="false"/>
          <w:i w:val="false"/>
          <w:color w:val="000000"/>
          <w:sz w:val="28"/>
        </w:rPr>
        <w:t>О пастбищах</w:t>
      </w:r>
      <w:r>
        <w:rPr>
          <w:rFonts w:ascii="Times New Roman"/>
          <w:b w:val="false"/>
          <w:i w:val="false"/>
          <w:color w:val="000000"/>
          <w:sz w:val="28"/>
        </w:rPr>
        <w:t>", Бейнеуский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Утвердить план по управлению пастбищами и их использованию по Бейнеускому району на 2023-2024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Настоящее решение вводится в действие со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Бейнеуского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А.Бораш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Бейнеуского районного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26 июня 2023 года №4/47</w:t>
            </w:r>
          </w:p>
        </w:tc>
      </w:tr>
    </w:tbl>
    <w:bookmarkStart w:name="z7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Бейнеускому району  на 2023-2024 годы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Настоящий План по управлению пастбищами и их использованию по Бейнеускому району на 2023-2024 годы (далее –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приказами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за №11064) и заместителя Премьер-Министра Республики Казахстан –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№173</w:t>
      </w:r>
      <w:r>
        <w:rPr>
          <w:rFonts w:ascii="Times New Roman"/>
          <w:b w:val="false"/>
          <w:i w:val="false"/>
          <w:color w:val="000000"/>
          <w:sz w:val="28"/>
        </w:rPr>
        <w:t> "Об утверждении Правил рационального использования пастбищ" (зарегистрирован в Реестре государственной регистрации нормативных правовых актов за №15090).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План содержит: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приложению 1 к настоящему Плану;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 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 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 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 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1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 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1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 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4"/>
    <w:bookmarkStart w:name="z1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End w:id="15"/>
    <w:bookmarkStart w:name="z2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План принят с учетом сведений о состоянии геоботанического обследования пастбищ, сведений о ветеринарно - санитарных объектах, данных о количестве гуртов, отар, табунов, сформированных по видам и половозрастным группам сельскохозяйственных животных, обеспеченность пастбищами скота жителей населенных пунктов, особенностей выпаса сельскохозяйственных животных на культурных и аридных пастбищах и сведений о сервитутах для прогона скота.</w:t>
      </w:r>
    </w:p>
    <w:bookmarkEnd w:id="16"/>
    <w:bookmarkStart w:name="z21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По административно - территориальному делению в Бейнеуском районе имеются 9 сел (Бейнеу, Сарга, Боранкул, Акжигит, Турыш, Есет, Толеп, Тажен, Сынгырлау) и 1 сельский округ (Сам).  </w:t>
      </w:r>
    </w:p>
    <w:bookmarkEnd w:id="17"/>
    <w:bookmarkStart w:name="z22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Общая площадь территории Бейнеуского района – 4 051 933 гектар, из них пастбищные земли – 2 917 192,7 гектар.</w:t>
      </w:r>
    </w:p>
    <w:bookmarkEnd w:id="18"/>
    <w:bookmarkStart w:name="z2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По категориям земли: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категорий земель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тысячи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тысячи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603,8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промышленности, транспорта, связи, обороны и иные земли несельско хозяйственого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24,8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81,8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водного фонда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2869,7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1954,4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4051,9</w:t>
            </w:r>
          </w:p>
        </w:tc>
      </w:tr>
    </w:tbl>
    <w:bookmarkStart w:name="z2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Бейнеуский район расположен на северо - восточной части Мангистауской области. Площадь района относится к зонам пустыни - полупустыни. Почва маловлажная, земля солончаковая. В основном растут полынь, полынно-биюргуновы, серая полынь, травы семейства полынных, эбелек, биюргун, адыраспан, острец, ковыль, перистый ковыль и другие травы. В отдельные годы, когда весна теплая, влажная, с середины апреля начинают расти эфемерные травы (мортык, конырбас, синбирик, мысык куйрык). Эти травы начинают усыхать через месяц, полтора. Эффективное использование пастбищ, предотвращение его износа связано с размещением каждого скота в зависимости от его хорошо потребляемой травы.</w:t>
      </w:r>
    </w:p>
    <w:bookmarkEnd w:id="20"/>
    <w:bookmarkStart w:name="z2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Средняя температура района в зимние месяца –100-150С, а в летние месяца +250 +350С. Средний размер осадков составляет – 10-12 мм, а годовой – 100-150 мм. В течение года наблюдается ветреная погода.</w:t>
      </w:r>
    </w:p>
    <w:bookmarkEnd w:id="21"/>
    <w:bookmarkStart w:name="z2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Водоснабжение для сельского хозяйства в районе используется из подземных вод.</w:t>
      </w:r>
    </w:p>
    <w:bookmarkEnd w:id="22"/>
    <w:bookmarkStart w:name="z2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Основной отраслью сельского хозяйства в районе является животноводство.</w:t>
      </w:r>
    </w:p>
    <w:bookmarkEnd w:id="23"/>
    <w:bookmarkStart w:name="z2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 настоящее время в районе верблюдов 24 026 голов, 5 487 голов крупного рогатого скота, 57 565 голов мелкого рогатого скота, 21 150 голов лошади.</w:t>
      </w:r>
    </w:p>
    <w:bookmarkEnd w:id="24"/>
    <w:bookmarkStart w:name="z2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В районе действует 2 скотомогильника и 6 ветеринарных пунктов.</w:t>
      </w:r>
    </w:p>
    <w:bookmarkEnd w:id="25"/>
    <w:bookmarkStart w:name="z3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ветеринарно – санитарных объектах:</w:t>
      </w:r>
    </w:p>
    <w:bookmarkEnd w:id="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сельского округа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Ветеринар-ные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купания скота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искуственного осеменения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Запланированные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Построенные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Бейнеу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Акжигит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Сарга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Боранкул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Есет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Сынгырлау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Толеп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Тажен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Турыш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</w:tbl>
    <w:bookmarkStart w:name="z3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 Для определения продуктивности пастбищ использовались данные геоботанических исследований. Средняя урожайность пастбищ на сухую массу составляет 1,5 - 2,0 центнер/гектар. Вспомогательные запасы травы и запасы кошения используются в зимний период.</w:t>
      </w:r>
    </w:p>
    <w:bookmarkEnd w:id="27"/>
    <w:bookmarkStart w:name="z3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 Определение пастбищного потенциала, основано на данных о его производительности в период пастбищ. Приблизительно были получены следующие нормы кормов для скота (в среднем для одного скота): крупно рогатый скот - 4 кг, мелко рогатый скот -2 кг, лошадь и верблюд – 6 кг. Продолжительность пастбищного периода составляет 180-200 дней. Таким образом, можно определить вместительность пастбища, зная пастбищный продукт, необходимость на один день корма для животных, продолжительность пастбищного периода.</w:t>
      </w:r>
    </w:p>
    <w:bookmarkEnd w:id="28"/>
    <w:bookmarkStart w:name="z33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 Особенностей выпаса сельскохозяйственных животных на культурных и аридных пастбищах:</w:t>
      </w:r>
    </w:p>
    <w:bookmarkEnd w:id="29"/>
    <w:bookmarkStart w:name="z34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календарный график о выпасе сельскохозяйственных животных и перегона сезонных маршрутов устанавливающий использование пастбищ, а также продолжительность пастбищеоборота;</w:t>
      </w:r>
    </w:p>
    <w:bookmarkEnd w:id="30"/>
    <w:bookmarkStart w:name="z35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почва зависит от климатического региона, видов сельскохозяйственных животных, а также от пастбищеоборота;</w:t>
      </w:r>
    </w:p>
    <w:bookmarkEnd w:id="31"/>
    <w:bookmarkStart w:name="z36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степной -160 - 180 дней;</w:t>
      </w:r>
    </w:p>
    <w:bookmarkEnd w:id="32"/>
    <w:bookmarkStart w:name="z37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пустынной – 160-180 дней;</w:t>
      </w:r>
    </w:p>
    <w:bookmarkEnd w:id="33"/>
    <w:bookmarkStart w:name="z38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Длительность выпаса скота: для крупного рогатого скота молочной породы минимальная, для крупного рогатого скота мясной породы, овец, лошадей, верблюдов максимальная и зависит от глубины и плотности снежного покрова и других факторов.</w:t>
      </w:r>
    </w:p>
    <w:bookmarkEnd w:id="34"/>
    <w:bookmarkStart w:name="z39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Сведений о сервитутах для прогона скота. </w:t>
      </w:r>
    </w:p>
    <w:bookmarkEnd w:id="35"/>
    <w:bookmarkStart w:name="z40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Скотопрогонная трасса по Бейнеускому району занимает 150 км.</w:t>
      </w:r>
    </w:p>
    <w:bookmarkEnd w:id="36"/>
    <w:bookmarkStart w:name="z41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аббревиатуры:</w:t>
      </w:r>
    </w:p>
    <w:bookmarkEnd w:id="37"/>
    <w:bookmarkStart w:name="z42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bookmarkEnd w:id="38"/>
    <w:bookmarkStart w:name="z43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– показатель Цельсия;</w:t>
      </w:r>
    </w:p>
    <w:bookmarkEnd w:id="39"/>
    <w:bookmarkStart w:name="z44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мм – миллиметр;</w:t>
      </w:r>
    </w:p>
    <w:bookmarkEnd w:id="40"/>
    <w:bookmarkStart w:name="z4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кг – килограмм;</w:t>
      </w:r>
    </w:p>
    <w:bookmarkEnd w:id="41"/>
    <w:bookmarkStart w:name="z4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км – километр.</w:t>
      </w:r>
    </w:p>
    <w:bookmarkEnd w:id="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Бейнеускому району на 2023-2024 годы</w:t>
            </w:r>
          </w:p>
        </w:tc>
      </w:tr>
    </w:tbl>
    <w:bookmarkStart w:name="z51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Бейнеускому району на 2023-2024 годы</w:t>
            </w:r>
          </w:p>
        </w:tc>
      </w:tr>
    </w:tbl>
    <w:bookmarkStart w:name="z56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4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Бейнеускому району на 2023-2024 годы</w:t>
            </w:r>
          </w:p>
        </w:tc>
      </w:tr>
    </w:tbl>
    <w:bookmarkStart w:name="z61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Бейнеускому району на 2023-2024 годы</w:t>
            </w:r>
          </w:p>
        </w:tc>
      </w:tr>
    </w:tbl>
    <w:bookmarkStart w:name="z66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копаням, оросительным или обводнительным каналам, трубчатым или шахтовым колодцам), составленную согласно норме потребления воды</w:t>
      </w:r>
    </w:p>
    <w:bookmarkEnd w:id="4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9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Бейнеускому району на 2023-2024 годы</w:t>
            </w:r>
          </w:p>
        </w:tc>
      </w:tr>
    </w:tbl>
    <w:bookmarkStart w:name="z71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2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Бейнеускому району на 2023-2024 годы</w:t>
            </w:r>
          </w:p>
        </w:tc>
      </w:tr>
    </w:tbl>
    <w:bookmarkStart w:name="z76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4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Бейнеускому району на 2023-2024 годы</w:t>
            </w:r>
          </w:p>
        </w:tc>
      </w:tr>
    </w:tbl>
    <w:bookmarkStart w:name="z81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выпаса на отдаленных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 отдаленных пастбищ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Бейнеу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Акжигит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Сарга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Боранкул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Есет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Сынгырлау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Толеп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Тажен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Турыш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Бейнеускому району на 2023-2024 годы</w:t>
            </w:r>
          </w:p>
        </w:tc>
      </w:tr>
    </w:tbl>
    <w:bookmarkStart w:name="z86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5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header.xml" Type="http://schemas.openxmlformats.org/officeDocument/2006/relationships/header" Id="rId1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