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e806" w14:textId="649e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села Жетекши города Павлодара на 2024-2025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апреля 2023 года № 18/2. Утратило силу решением Павлодарского городского маслихата Павлодарской области от 25 февраля 2025 года № 230/26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25.02.2025 № 230/26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по управлению пастбищами и их использованию села Жетекши города Павлодара на 2024-2025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села Жетекши на 2024-2025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селе Жетекши города Павлодара на 2024-2025 годы (далее - План) разработан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состояний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села Жетекши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села Жетекши,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села Жетекши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 пользователей к водоисточником (озҰрам,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села Жетекши,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села Жетекши,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 на территории села Жетекши,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села находится на правом берегу реки Иртыш. В пределах Прииртышский плосковолнистой равнины области Западно-Сибирской низменности. Рельеф богарной части представлен плоско волнистой аллювиальной равниной, расположенной в пределах в первой, второй и третьей надпойменных террас р.Иртыш.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Своеобразие гидрографического облика данной территории обусловлено рядом физики-географических факторов, из которых являются резко континентальный климат с малым количеством осадков и равнинный рельеф с наличием западин. Здесь сформировались каштановые, луговато-каштановые почвы и солонцы каштановые.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1,1-2,5 центнер/гектар.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расположен в северной части с территорией села Мойылды, на востоке Заринским сельским округом на юге и западе с территорией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села Жетекши расположено в подзоне сухих степей с резко континентальным климатом, для которого свойственны засушливость весенне-летнего периода, высокие летние и низкие зимние температуры, недостаточное и неустойчивое погодам количество атмосферных осадков, с летним их максимум и значительно ветровая деятельность в течении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села Жетекши 1307,8 гектар, из них пастбищные земли – 846,0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846,0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439,0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22,0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1,0 гектар земли запаса -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села: 606 голов крупного рогатого скота, 1 309 голов мелкого рогатого скота, 399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Сформированные стада, отары, табуны сельскохозяйственных животных по видам распределились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стада крупного рогатого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 сельского округа относятся к природным пастбищам, и используются преимущественно для выпаса скота. Культурных и аридных пастбищ на территории села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являются, население села Жетекши.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села Жетекши действует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Жетекши сервитуты для прогона скота не установлены.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села Жетекши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43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села Жетекши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села Жетекши с обозначением внешних и внутренних границ и площадей пастбищ, в том числе сезонных,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села Жетекши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911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села Жетекши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213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села Жетекши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673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обазначения: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Жетекши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