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ff38" w14:textId="cb2f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Экибастуз на 2023-2024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20 июня 2023 года № 29/4. Утратило силу решением Экибастузского городского маслихата Павлодарской области от 28 ноября 2024 года № 202/24</w:t>
      </w:r>
    </w:p>
    <w:p>
      <w:pPr>
        <w:spacing w:after="0"/>
        <w:ind w:left="0"/>
        <w:jc w:val="both"/>
      </w:pPr>
      <w:r>
        <w:rPr>
          <w:rFonts w:ascii="Times New Roman"/>
          <w:b w:val="false"/>
          <w:i w:val="false"/>
          <w:color w:val="ff0000"/>
          <w:sz w:val="28"/>
        </w:rPr>
        <w:t xml:space="preserve">
      Сноска. Утратило силу решением Экибастузского городского маслихата Павлодарской области от 28.11.2024 </w:t>
      </w:r>
      <w:r>
        <w:rPr>
          <w:rFonts w:ascii="Times New Roman"/>
          <w:b w:val="false"/>
          <w:i w:val="false"/>
          <w:color w:val="ff0000"/>
          <w:sz w:val="28"/>
        </w:rPr>
        <w:t>№ 202/24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пастбищах"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городу Экибастуз на 2023-2024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развитию аграрного сектора и земельных отношений Экибастузского городского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Экибастузского городского маслихата</w:t>
            </w:r>
            <w:r>
              <w:br/>
            </w:r>
            <w:r>
              <w:rPr>
                <w:rFonts w:ascii="Times New Roman"/>
                <w:b w:val="false"/>
                <w:i w:val="false"/>
                <w:color w:val="000000"/>
                <w:sz w:val="20"/>
              </w:rPr>
              <w:t>от 20 июня 2023 года</w:t>
            </w:r>
            <w:r>
              <w:br/>
            </w:r>
            <w:r>
              <w:rPr>
                <w:rFonts w:ascii="Times New Roman"/>
                <w:b w:val="false"/>
                <w:i w:val="false"/>
                <w:color w:val="000000"/>
                <w:sz w:val="20"/>
              </w:rPr>
              <w:t>№ 29/4</w:t>
            </w:r>
          </w:p>
        </w:tc>
      </w:tr>
    </w:tbl>
    <w:p>
      <w:pPr>
        <w:spacing w:after="0"/>
        <w:ind w:left="0"/>
        <w:jc w:val="left"/>
      </w:pPr>
      <w:r>
        <w:rPr>
          <w:rFonts w:ascii="Times New Roman"/>
          <w:b/>
          <w:i w:val="false"/>
          <w:color w:val="000000"/>
        </w:rPr>
        <w:t xml:space="preserve"> План по управлению пастбищами и их использованию по городу Экибастуз на 2023-2024 годы</w:t>
      </w:r>
    </w:p>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городу Экибастуз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24.04.2017 года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14.04.2015 года №3-3/332 "Об утверждении предельно допустимой нормы нагрузки на общую площадь пастбищ".</w:t>
      </w:r>
    </w:p>
    <w:p>
      <w:pPr>
        <w:spacing w:after="0"/>
        <w:ind w:left="0"/>
        <w:jc w:val="both"/>
      </w:pPr>
      <w:r>
        <w:rPr>
          <w:rFonts w:ascii="Times New Roman"/>
          <w:b w:val="false"/>
          <w:i w:val="false"/>
          <w:color w:val="000000"/>
          <w:sz w:val="28"/>
        </w:rPr>
        <w:t>
      2. План принят с учҰтом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в количестве гуртов, отар, сформированных по видам и половозрастным группам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p>
      <w:pPr>
        <w:spacing w:after="0"/>
        <w:ind w:left="0"/>
        <w:jc w:val="both"/>
      </w:pPr>
      <w:r>
        <w:rPr>
          <w:rFonts w:ascii="Times New Roman"/>
          <w:b w:val="false"/>
          <w:i w:val="false"/>
          <w:color w:val="000000"/>
          <w:sz w:val="28"/>
        </w:rPr>
        <w:t>
      4. План содержит:</w:t>
      </w:r>
    </w:p>
    <w:p>
      <w:pPr>
        <w:spacing w:after="0"/>
        <w:ind w:left="0"/>
        <w:jc w:val="both"/>
      </w:pPr>
      <w:r>
        <w:rPr>
          <w:rFonts w:ascii="Times New Roman"/>
          <w:b w:val="false"/>
          <w:i w:val="false"/>
          <w:color w:val="000000"/>
          <w:sz w:val="28"/>
        </w:rPr>
        <w:t xml:space="preserve">
      1) Схему (карту) расположения пастбищ на территории города Экибастуз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(озҰрам, рекам, прудам копоням, оросительным или обводнительным каналам, трубчатым или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8) Карту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согласно </w:t>
      </w:r>
      <w:r>
        <w:rPr>
          <w:rFonts w:ascii="Times New Roman"/>
          <w:b w:val="false"/>
          <w:i w:val="false"/>
          <w:color w:val="000000"/>
          <w:sz w:val="28"/>
        </w:rPr>
        <w:t xml:space="preserve">приложению 7-1 </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5. По типу почв относится к умеренно-сухой степи с ковыльнотипчаково-ксерафитно-разнотравным, ковыльно-типчаково-полынным покровом, имеет слабо выраженную структуру и бедна перегнойными веществами. Аридных пастбищ в регионе не имеется. Средняя урожайность пастбищных угодий составляет 3,6 центнеров. Фонд кормов пастбищ используется в пастбищный период продолжительностью 170-180 дней. В посҰлках Солнечный и Шидерты земель сельскохозяйственного назначения не имеется. В гидрографическом отношении район имеет выгодное положение, так как через территорию города протекают реки Шидерты, Оленты, канал имени К.Сатпаева, имеются озҰра Аулиеколь, Басентиин, Елемес, Майсор, Карасор и другие.</w:t>
      </w:r>
    </w:p>
    <w:p>
      <w:pPr>
        <w:spacing w:after="0"/>
        <w:ind w:left="0"/>
        <w:jc w:val="both"/>
      </w:pPr>
      <w:r>
        <w:rPr>
          <w:rFonts w:ascii="Times New Roman"/>
          <w:b w:val="false"/>
          <w:i w:val="false"/>
          <w:color w:val="000000"/>
          <w:sz w:val="28"/>
        </w:rPr>
        <w:t>
      6. Город Экибастуз образован в 1957 году. В 1997 году в его состав включҰн бывший Экибастузский район. Расположен в 120 км от областного центра. С севера граничит с Актогайским районом, с юга – с Баянаульским районом и Карагандинской областью, с восточной стороны – с городом Аксу, с западной стороны – с Акмолинской областью. Климат резко континентальный, средняя температура января от -19 градусов Цельсия до -20 градусов Цельсия, средняя температура июля от +22 градусов Цельсия до +25 градусов Цельсия. Годовое количество атмосферных осадков составляет 272 миллиметра. Правят юго-западные и северные ветры, часты восточные суховеи.</w:t>
      </w:r>
    </w:p>
    <w:p>
      <w:pPr>
        <w:spacing w:after="0"/>
        <w:ind w:left="0"/>
        <w:jc w:val="both"/>
      </w:pPr>
      <w:r>
        <w:rPr>
          <w:rFonts w:ascii="Times New Roman"/>
          <w:b w:val="false"/>
          <w:i w:val="false"/>
          <w:color w:val="000000"/>
          <w:sz w:val="28"/>
        </w:rPr>
        <w:t>
      7. Общая площадь земель города 1 887 602,7 гектаров, из них: пастбищные земли – 1 671 464,7 гектаров. По категориям земли подразделяются: земли сельскохозяйственного назначения – 897 054, 9 гектаров; земли населҰнных пунктов – 212 048,6 гектаров; земли промышленности, транспорта, связи, для нужд космической деятельности, обороны, национальной безопасности и иного сельскохозяйственного назначения – 66 445,5 гектаров; земли лесного фонда – 1 333,0 гектаров; земли водного фонда – 17 832,0 гектаров; земли запаса – 693 088,07 гектаров. В городе Экибастуз всего по данным земельного баланса числится 393 сельскохозяйственных формирований на общей площади 895110,5 гектаров, в том числе пастбищ 830943,6 гектаров. Из общего количества сельскохозяйственных формирований пастбища находятся: в частной собственности - 10 участков на площади 1237 гектаров; в землепользовании - 383 участка на площади 829706,6 гектаров.</w:t>
      </w:r>
    </w:p>
    <w:p>
      <w:pPr>
        <w:spacing w:after="0"/>
        <w:ind w:left="0"/>
        <w:jc w:val="both"/>
      </w:pPr>
      <w:r>
        <w:rPr>
          <w:rFonts w:ascii="Times New Roman"/>
          <w:b w:val="false"/>
          <w:i w:val="false"/>
          <w:color w:val="000000"/>
          <w:sz w:val="28"/>
        </w:rPr>
        <w:t>
      8. Основными пользователями пастбищ на территории города являются сельскохозяйственные формирования. Скот населения в населҰнных пунктах пасҰтся на отведҰнных землях.</w:t>
      </w:r>
    </w:p>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города. Всего по региону числится 33 отары мелкого рогатого скота, 58 гуртов крупного рогатого скота, 59 табунов лошадей, 21 смешанных гуртов. Поголовье сельскохозяйственных животных для выпаса на отгонных пастбищах не сформировано. Согласно информации по состоянию на 1 января 2023 года согласно порталу ИСЖ по Экибастузскому региону зарегистрировано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 В городе действует 43 ветеринарно-санитарных объектов, из них для утилизации трупов павших животных имеется 16 типовых скотомогильников, 12 ветеринарных пунктов, 2 убойные площадки, 7 сибиреязвенных захоронений, 2 мясокомбината.</w:t>
      </w:r>
    </w:p>
    <w:p>
      <w:pPr>
        <w:spacing w:after="0"/>
        <w:ind w:left="0"/>
        <w:jc w:val="both"/>
      </w:pPr>
      <w:r>
        <w:rPr>
          <w:rFonts w:ascii="Times New Roman"/>
          <w:b w:val="false"/>
          <w:i w:val="false"/>
          <w:color w:val="000000"/>
          <w:sz w:val="28"/>
        </w:rPr>
        <w:t>
      11. В городе Экибастуз сервитуты для прогона скота не установлены.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(карта) расположения пастбищ на территории города Экибастуз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Приемлемые схемы пастбищеоборотов</w:t>
      </w:r>
    </w:p>
    <w:p>
      <w:pPr>
        <w:spacing w:after="0"/>
        <w:ind w:left="0"/>
        <w:jc w:val="left"/>
      </w:pPr>
      <w:r>
        <w:br/>
      </w:r>
    </w:p>
    <w:p>
      <w:pPr>
        <w:spacing w:after="0"/>
        <w:ind w:left="0"/>
        <w:jc w:val="both"/>
      </w:pPr>
      <w:r>
        <w:drawing>
          <wp:inline distT="0" distB="0" distL="0" distR="0">
            <wp:extent cx="78105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p>
      <w:pPr>
        <w:spacing w:after="0"/>
        <w:ind w:left="0"/>
        <w:jc w:val="left"/>
      </w:pPr>
      <w:r>
        <w:br/>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копаниям, оросительным или обводнительным каналам, трубчатым или шахтным колодцам) составленная согласно норме потребления воды</w:t>
      </w:r>
    </w:p>
    <w:p>
      <w:pPr>
        <w:spacing w:after="0"/>
        <w:ind w:left="0"/>
        <w:jc w:val="left"/>
      </w:pPr>
      <w:r>
        <w:br/>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p>
      <w:pPr>
        <w:spacing w:after="0"/>
        <w:ind w:left="0"/>
        <w:jc w:val="left"/>
      </w:pPr>
      <w:r>
        <w:br/>
      </w:r>
    </w:p>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p>
      <w:pPr>
        <w:spacing w:after="0"/>
        <w:ind w:left="0"/>
        <w:jc w:val="left"/>
      </w:pP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поселка,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Байетский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Сарыкамысский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Торт-Кудукский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Солнечный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Шидерты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 ак. АлькеяМаргулана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Шикылдак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Плану по 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по городу Экибастуз</w:t>
            </w:r>
            <w:r>
              <w:br/>
            </w:r>
            <w:r>
              <w:rPr>
                <w:rFonts w:ascii="Times New Roman"/>
                <w:b w:val="false"/>
                <w:i w:val="false"/>
                <w:color w:val="000000"/>
                <w:sz w:val="20"/>
              </w:rPr>
              <w:t>на 2023 - 2024 годы</w:t>
            </w:r>
          </w:p>
        </w:tc>
      </w:tr>
    </w:tbl>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зависимости от местных условий и особенностей</w:t>
      </w:r>
    </w:p>
    <w:p>
      <w:pPr>
        <w:spacing w:after="0"/>
        <w:ind w:left="0"/>
        <w:jc w:val="left"/>
      </w:pPr>
      <w:r>
        <w:br/>
      </w:r>
    </w:p>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