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9b6b" w14:textId="07b9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4 марта 2022 года № 12/5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апреля 2023 года № 2/4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от 4 марта 2022 года № 12/13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области",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12/5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приложение 2 Приказа)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(далее – аппарат маслихата).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Кызылжарским районным маслихатом на основе приложения 2 Приказа с учетом специфики деятельности аппарата маслихата.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Кызылжарского районного маслихата;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по работе с депутатами и контролю аппарата маслихата (далее – главный специалист по кадрам), в том числе посредством информационной системы.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кадрам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кадрам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главного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кадрам при содействии всех заинтересованных лиц и сторон.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кадрам обеспечивает: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кадрам и участникам калибровочных сессий.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главный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главным специалистом по кадрам.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77"/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главный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главным специалистом по кадрам.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главным специалистом по кадрам, для каждого оцениваемого лица.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приложения 2 Приказа. При формировании тематики семинаров повышения квалификации и дисциплин курсов переподготовки главным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