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dd06" w14:textId="fb3d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Уалихановского районного маслихата Северо-Казахстанской области от 20 июня 2018 года № 5-27 с "Об утверждении регламента собрания местного сообщества сельских округов Уалихановского района Северо-Казахстанской области"</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30 мая 2023 года № 18-4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Уалихановского района Северо-Казахстанской области от 20 июня 2018 года № 5-27 с "Об утверждении регламента собрания местного сообщества сельских округов Уалихановского района Северо-Казахстанской области"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Уалихановского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мая 2023 года № 18-4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июня 2018 года № 5-27 с</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сельских округов Уалихановского района Северо-Казахстанской области</w:t>
      </w:r>
    </w:p>
    <w:bookmarkEnd w:id="3"/>
    <w:bookmarkStart w:name="z16" w:id="4"/>
    <w:p>
      <w:pPr>
        <w:spacing w:after="0"/>
        <w:ind w:left="0"/>
        <w:jc w:val="left"/>
      </w:pPr>
      <w:r>
        <w:rPr>
          <w:rFonts w:ascii="Times New Roman"/>
          <w:b/>
          <w:i w:val="false"/>
          <w:color w:val="000000"/>
        </w:rPr>
        <w:t xml:space="preserve"> 1. Общие положения</w:t>
      </w:r>
    </w:p>
    <w:bookmarkEnd w:id="4"/>
    <w:bookmarkStart w:name="z17" w:id="5"/>
    <w:p>
      <w:pPr>
        <w:spacing w:after="0"/>
        <w:ind w:left="0"/>
        <w:jc w:val="both"/>
      </w:pPr>
      <w:r>
        <w:rPr>
          <w:rFonts w:ascii="Times New Roman"/>
          <w:b w:val="false"/>
          <w:i w:val="false"/>
          <w:color w:val="000000"/>
          <w:sz w:val="28"/>
        </w:rPr>
        <w:t>
      1. Настоящий регламент собрания местного сообщества (далее – регламент)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(далее – Закон) и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(далее – сельского округа), в границах которого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и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25"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6"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4"/>
    <w:bookmarkStart w:name="z27"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8"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9"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30"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31"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32"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0"/>
    <w:bookmarkStart w:name="z33" w:id="2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1"/>
    <w:bookmarkStart w:name="z34" w:id="2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
    <w:bookmarkStart w:name="z35" w:id="23"/>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23"/>
    <w:bookmarkStart w:name="z36" w:id="24"/>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37" w:id="25"/>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5"/>
    <w:bookmarkStart w:name="z38"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6"/>
    <w:bookmarkStart w:name="z39"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7"/>
    <w:bookmarkStart w:name="z40" w:id="28"/>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8"/>
    <w:bookmarkStart w:name="z41" w:id="2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9"/>
    <w:bookmarkStart w:name="z42" w:id="30"/>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0"/>
    <w:bookmarkStart w:name="z43" w:id="3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
    <w:bookmarkStart w:name="z44" w:id="32"/>
    <w:p>
      <w:pPr>
        <w:spacing w:after="0"/>
        <w:ind w:left="0"/>
        <w:jc w:val="both"/>
      </w:pPr>
      <w:r>
        <w:rPr>
          <w:rFonts w:ascii="Times New Roman"/>
          <w:b w:val="false"/>
          <w:i w:val="false"/>
          <w:color w:val="000000"/>
          <w:sz w:val="28"/>
        </w:rPr>
        <w:t>
      другие текущие вопросы местного сообщества.</w:t>
      </w:r>
    </w:p>
    <w:bookmarkEnd w:id="32"/>
    <w:bookmarkStart w:name="z45" w:id="33"/>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3"/>
    <w:bookmarkStart w:name="z46" w:id="3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4"/>
    <w:bookmarkStart w:name="z47" w:id="3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5"/>
    <w:bookmarkStart w:name="z48" w:id="36"/>
    <w:p>
      <w:pPr>
        <w:spacing w:after="0"/>
        <w:ind w:left="0"/>
        <w:jc w:val="both"/>
      </w:pPr>
      <w:r>
        <w:rPr>
          <w:rFonts w:ascii="Times New Roman"/>
          <w:b w:val="false"/>
          <w:i w:val="false"/>
          <w:color w:val="000000"/>
          <w:sz w:val="28"/>
        </w:rPr>
        <w:t>
      часть вторую пункта 6 изложить в следующей редакции:</w:t>
      </w:r>
    </w:p>
    <w:bookmarkEnd w:id="36"/>
    <w:bookmarkStart w:name="z49" w:id="3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7"/>
    <w:bookmarkStart w:name="z50" w:id="38"/>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38"/>
    <w:bookmarkStart w:name="z51" w:id="39"/>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9"/>
    <w:bookmarkStart w:name="z52" w:id="40"/>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w:t>
      </w:r>
    </w:p>
    <w:bookmarkEnd w:id="40"/>
    <w:bookmarkStart w:name="z53" w:id="41"/>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41"/>
    <w:bookmarkStart w:name="z54" w:id="4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
    <w:bookmarkStart w:name="z55" w:id="43"/>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3"/>
    <w:bookmarkStart w:name="z56" w:id="4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
    <w:bookmarkStart w:name="z57" w:id="4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5"/>
    <w:bookmarkStart w:name="z58" w:id="46"/>
    <w:p>
      <w:pPr>
        <w:spacing w:after="0"/>
        <w:ind w:left="0"/>
        <w:jc w:val="both"/>
      </w:pPr>
      <w:r>
        <w:rPr>
          <w:rFonts w:ascii="Times New Roman"/>
          <w:b w:val="false"/>
          <w:i w:val="false"/>
          <w:color w:val="000000"/>
          <w:sz w:val="28"/>
        </w:rPr>
        <w:t>
      В повестку дня включаются вопросы о ходе и (или) исполнении решений, принятых на предыдущих созывах собрании.</w:t>
      </w:r>
    </w:p>
    <w:bookmarkEnd w:id="46"/>
    <w:bookmarkStart w:name="z59" w:id="4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
    <w:bookmarkStart w:name="z60" w:id="4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
    <w:bookmarkStart w:name="z61" w:id="4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
    <w:bookmarkStart w:name="z62" w:id="5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50"/>
    <w:bookmarkStart w:name="z63" w:id="5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1"/>
    <w:bookmarkStart w:name="z64" w:id="5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2"/>
    <w:bookmarkStart w:name="z65" w:id="5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53"/>
    <w:bookmarkStart w:name="z66" w:id="5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
    <w:bookmarkStart w:name="z67" w:id="5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
    <w:bookmarkStart w:name="z68" w:id="56"/>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6"/>
    <w:bookmarkStart w:name="z69" w:id="5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7"/>
    <w:bookmarkStart w:name="z70" w:id="5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8"/>
    <w:bookmarkStart w:name="z71" w:id="5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9"/>
    <w:bookmarkStart w:name="z72" w:id="60"/>
    <w:p>
      <w:pPr>
        <w:spacing w:after="0"/>
        <w:ind w:left="0"/>
        <w:jc w:val="both"/>
      </w:pPr>
      <w:r>
        <w:rPr>
          <w:rFonts w:ascii="Times New Roman"/>
          <w:b w:val="false"/>
          <w:i w:val="false"/>
          <w:color w:val="000000"/>
          <w:sz w:val="28"/>
        </w:rPr>
        <w:t>
      1) дата и место проведения собрания;</w:t>
      </w:r>
    </w:p>
    <w:bookmarkEnd w:id="60"/>
    <w:bookmarkStart w:name="z73" w:id="61"/>
    <w:p>
      <w:pPr>
        <w:spacing w:after="0"/>
        <w:ind w:left="0"/>
        <w:jc w:val="both"/>
      </w:pPr>
      <w:r>
        <w:rPr>
          <w:rFonts w:ascii="Times New Roman"/>
          <w:b w:val="false"/>
          <w:i w:val="false"/>
          <w:color w:val="000000"/>
          <w:sz w:val="28"/>
        </w:rPr>
        <w:t>
      2) количество и список членов собрания;</w:t>
      </w:r>
    </w:p>
    <w:bookmarkEnd w:id="61"/>
    <w:bookmarkStart w:name="z74" w:id="6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2"/>
    <w:bookmarkStart w:name="z75" w:id="63"/>
    <w:p>
      <w:pPr>
        <w:spacing w:after="0"/>
        <w:ind w:left="0"/>
        <w:jc w:val="both"/>
      </w:pPr>
      <w:r>
        <w:rPr>
          <w:rFonts w:ascii="Times New Roman"/>
          <w:b w:val="false"/>
          <w:i w:val="false"/>
          <w:color w:val="000000"/>
          <w:sz w:val="28"/>
        </w:rPr>
        <w:t>
      4.Протокол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3"/>
    <w:bookmarkStart w:name="z76" w:id="6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4"/>
    <w:bookmarkStart w:name="z77" w:id="6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5"/>
    <w:bookmarkStart w:name="z78" w:id="6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6"/>
    <w:bookmarkStart w:name="z79" w:id="6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7"/>
    <w:bookmarkStart w:name="z80" w:id="68"/>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Типового регламента.</w:t>
      </w:r>
    </w:p>
    <w:bookmarkEnd w:id="68"/>
    <w:bookmarkStart w:name="z81" w:id="6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9"/>
    <w:bookmarkStart w:name="z82" w:id="7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bookmarkEnd w:id="70"/>
    <w:bookmarkStart w:name="z83" w:id="71"/>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1"/>
    <w:bookmarkStart w:name="z84" w:id="7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2"/>
    <w:bookmarkStart w:name="z85" w:id="7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3"/>
    <w:bookmarkStart w:name="z86" w:id="74"/>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74"/>
    <w:bookmarkStart w:name="z87" w:id="7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5"/>
    <w:bookmarkStart w:name="z88" w:id="7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6"/>
    <w:bookmarkStart w:name="z89" w:id="7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