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d119" w14:textId="3b9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 мая 2023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№ 121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Курмангазинского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Курмангазинского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органа, аким сельского округа – административный государственный служащий корпуса "Б" категории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12) пункта 2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Вторая графа пункта 5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персоналомаппарата акима Курмангазинского района (далее – служба управления персоналом), в том числе посредством информационной системы.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координирующего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подразделений/государственного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Параграф 1. Порядок оценки достижения КЦИ</w:t>
      </w:r>
    </w:p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Секретарем Комиссии является сотрудник службы управления персоналом. Секретарь Комиссии не принимает участие в голосовании.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3"/>
    <w:p>
      <w:pPr>
        <w:spacing w:after="0"/>
        <w:ind w:left="0"/>
        <w:jc w:val="both"/>
      </w:pPr>
      <w:bookmarkStart w:name="z212" w:id="194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8"/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6"/>
    <w:p>
      <w:pPr>
        <w:spacing w:after="0"/>
        <w:ind w:left="0"/>
        <w:jc w:val="both"/>
      </w:pPr>
      <w:bookmarkStart w:name="z229" w:id="207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7"/>
    <w:p>
      <w:pPr>
        <w:spacing w:after="0"/>
        <w:ind w:left="0"/>
        <w:jc w:val="both"/>
      </w:pPr>
    </w:p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9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25"/>
    <w:p>
      <w:pPr>
        <w:spacing w:after="0"/>
        <w:ind w:left="0"/>
        <w:jc w:val="both"/>
      </w:pPr>
      <w:bookmarkStart w:name="z254" w:id="22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10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5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11 действует до 31.08.2023 в соответствии с пунктом 2 постановления акимата Курмангазинского района Атырауской области от 05.08.2023 № </w:t>
      </w:r>
      <w:r>
        <w:rPr>
          <w:rFonts w:ascii="Times New Roman"/>
          <w:b w:val="false"/>
          <w:i w:val="false"/>
          <w:color w:val="ff0000"/>
          <w:sz w:val="28"/>
        </w:rPr>
        <w:t>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Комиссии: 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