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0bdc" w14:textId="c450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22 декабря 2023 года № 11/64-VІІІ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Арыс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8 026 143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3 686 036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267 705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4 009 230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8 748 999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-739 887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660 399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91 993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Арысского городского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17/104-VIII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 распределения общей суммы поступлений корпоративного подоходного, индивидуального подоходного налогов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и индивидуальному подоходному налогу с доходов иностранных граждан, не облагаемых у источника выплату в городской бюджет 50 процентов, в областной бюджет 50 процентов, по индивидуальному подоходному налогу с доходов, облагаемых у источника выплаты в городской бюджет 50 процентов, в областной бюджет 50 процентов, по социальному налогу в городской бюджет 50,0 процентов, в областной бюджет 50,0 процентов, индивидуальному подоходному налогу с доходов , не облагаемых у источника выплату в городской бюджет 100,0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2024 год в сумме 12 000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городских бюджетных программ развития и бюджетных инвестиционных проектов и программ на 2024 год.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№11/64-VІІІ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Арысского городского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17/104-VIII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находящийся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№11/64-VІІІ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лицам из групп риска, оказавшимся в трудной жизненной ситуации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№11/64-VІІІ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лицам из групп риска, оказавшимся в трудной жизненной ситуации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№11/64-VІІІ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развитияи бюджетных инвестиционных проектов и программ на 2024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Арысского городского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17/104-VIII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