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7821" w14:textId="ad47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22 декабря 2023 года № 11/64-VІІІ.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Арыс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9 175 663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4 014 984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4 853 266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10 043 106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819 754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91 993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Арысского городского маслихата Туркестанской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26/145-VІІІ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и индивидуальному подоходному налогу с доходов иностранных граждан, не облагаемых у источника выплату в городской бюджет 50 процентов, в областной бюджет 50 процентов, по индивидуальному подоходному налогу с доходов, облагаемых у источника выплаты в городской бюджет 50 процентов, в областной бюджет 50 процентов, по социальному налогу в городской бюджет 50,0 процентов, в областной бюджет 50,0 процентов, индивидуальному подоходному налогу с доходов , не облагаемых у источника выплату в городской бюджет 100,0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2024 год в сумме 12 000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городских бюджетных программ развития и бюджетных инвестиционных проектов и программ на 2024 год.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Арысского городского маслихата Туркестанской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26/145-VІІІ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государственных закупок, организованных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развитияи бюджетных инвестиционных проектов и программ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Арысского городского маслихата Туркестанской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26/145-VІІІ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