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3b05" w14:textId="f2d3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декабря 2023 года № 9/52-VIII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8 853 385тысяч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472910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69420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274990тысяч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9 621 027тысяч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445 373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- 1 213015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943048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389 470тысяч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22/133-VIII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2024 году нормативы распределения налоговых поступлений в областной бюджет в размере 50 процентов от индивидуального подоходного налога, корпоративного подоходного налога, индивидуального подоходного налога, социального налога, удерживаемого с доходов иностранных граждан, не облагаемых у источника выплаты.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передаваемых из районного бюджета в бюджеты города районного значения, сельских округов на 2024 год в сумме 222 707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К.Абдалиев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размеры трансфертый, передаваемых из районного бюджета в бюджеты города районного значения, сельских округов на 2024 год в сумме 97 974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26 929тысяч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К.Абдалиев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27 384тысяч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2024 год в размере – 63 196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2024-2026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Д.Кубеев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2023 года № 9/52-VIII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22/133-VIII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2023 года № 9/52-VIII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2023 года № 9/52-VIII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2023 года № 9/52-VIII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развития на 2024-2026 годы,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