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6741" w14:textId="c5f6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23 декабря 2022 года № 33/4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 ноября 2023 года № 8/1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23 декабря 2022 года № 33/4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2023-2025 годы согласно приложению 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17 660 568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3 768 580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13 765 634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18 407 158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-159 325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236 950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-587 265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бюджета– 587 265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556 340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 распределения общей суммы поступления корпоративного подоходного налога 50 процентов, индивидуального подоходного налога 53,7 процентов, индивидуальный подоходный налог с доходов иностранных граждан, не облагаемых у источника выплаты 50 процентов, и социального налога в размере 50 процентов в областной бюджет.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Вознограждения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136 770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